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风景园林艺术学院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研究生学业奖学金评定实施细则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atLeast"/>
        <w:ind w:left="0" w:leftChars="0" w:right="0" w:rightChars="0" w:firstLine="0" w:firstLineChars="0"/>
        <w:jc w:val="center"/>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第一章 总</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则</w:t>
      </w:r>
    </w:p>
    <w:p>
      <w:pPr>
        <w:keepNext w:val="0"/>
        <w:keepLines w:val="0"/>
        <w:pageBreakBefore w:val="0"/>
        <w:widowControl/>
        <w:kinsoku/>
        <w:wordWrap/>
        <w:overflowPunct/>
        <w:topLinePunct w:val="0"/>
        <w:bidi w:val="0"/>
        <w:snapToGrid/>
        <w:spacing w:line="560" w:lineRule="atLeas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第一条</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为鼓励研究生勤奋学习、潜心钻研，提高硕士研究生培养质量，根据《西北农林科技大学研究生学业奖学金管理办法（试行）》（校研发</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2014</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429号）文件精神，本着“公正、公平、公开、择优”的原则，结合我</w:t>
      </w:r>
      <w:r>
        <w:rPr>
          <w:rFonts w:hint="eastAsia" w:ascii="仿宋_GB2312" w:hAnsi="仿宋_GB2312" w:eastAsia="仿宋_GB2312" w:cs="仿宋_GB2312"/>
          <w:kern w:val="0"/>
          <w:sz w:val="32"/>
          <w:szCs w:val="32"/>
          <w:highlight w:val="none"/>
          <w:lang w:val="en-US" w:eastAsia="zh-CN"/>
        </w:rPr>
        <w:t>院</w:t>
      </w:r>
      <w:r>
        <w:rPr>
          <w:rFonts w:hint="eastAsia" w:ascii="仿宋_GB2312" w:hAnsi="仿宋_GB2312" w:eastAsia="仿宋_GB2312" w:cs="仿宋_GB2312"/>
          <w:kern w:val="0"/>
          <w:sz w:val="32"/>
          <w:szCs w:val="32"/>
          <w:highlight w:val="none"/>
        </w:rPr>
        <w:t>实际，特制定本细则。</w:t>
      </w:r>
    </w:p>
    <w:p>
      <w:pPr>
        <w:keepNext w:val="0"/>
        <w:keepLines w:val="0"/>
        <w:pageBreakBefore w:val="0"/>
        <w:widowControl w:val="0"/>
        <w:tabs>
          <w:tab w:val="left" w:pos="6123"/>
        </w:tabs>
        <w:kinsoku/>
        <w:wordWrap/>
        <w:overflowPunct/>
        <w:topLinePunct w:val="0"/>
        <w:autoSpaceDE/>
        <w:autoSpaceDN/>
        <w:bidi w:val="0"/>
        <w:adjustRightInd/>
        <w:snapToGrid/>
        <w:spacing w:before="157" w:beforeLines="50" w:after="157" w:afterLines="50" w:line="560" w:lineRule="atLeast"/>
        <w:jc w:val="center"/>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第二章 组织与职责</w:t>
      </w:r>
    </w:p>
    <w:p>
      <w:pPr>
        <w:keepNext w:val="0"/>
        <w:keepLines w:val="0"/>
        <w:pageBreakBefore w:val="0"/>
        <w:widowControl/>
        <w:kinsoku/>
        <w:wordWrap/>
        <w:overflowPunct/>
        <w:topLinePunct w:val="0"/>
        <w:bidi w:val="0"/>
        <w:snapToGrid/>
        <w:spacing w:line="560" w:lineRule="atLeas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第二条</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成立由党政领导、分管研究生思想政治教育和培养工作的负责人、研究生导师代表、研究生秘书、辅导员、研究生代表等组成的</w:t>
      </w:r>
      <w:r>
        <w:rPr>
          <w:rFonts w:hint="eastAsia" w:ascii="仿宋_GB2312" w:hAnsi="仿宋_GB2312" w:eastAsia="仿宋_GB2312" w:cs="仿宋_GB2312"/>
          <w:kern w:val="0"/>
          <w:sz w:val="32"/>
          <w:szCs w:val="32"/>
          <w:highlight w:val="none"/>
          <w:shd w:val="clear" w:color="auto" w:fill="FFFFFF"/>
        </w:rPr>
        <w:t>研究生奖助工作小组</w:t>
      </w:r>
      <w:r>
        <w:rPr>
          <w:rFonts w:hint="eastAsia" w:ascii="仿宋_GB2312" w:hAnsi="仿宋_GB2312" w:eastAsia="仿宋_GB2312" w:cs="仿宋_GB2312"/>
          <w:kern w:val="0"/>
          <w:sz w:val="32"/>
          <w:szCs w:val="32"/>
          <w:highlight w:val="none"/>
        </w:rPr>
        <w:t>，负责学院研究生基本奖学金的评定工作及动态考核。</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组  长：孙玉瑷  </w:t>
      </w:r>
      <w:r>
        <w:rPr>
          <w:rFonts w:hint="eastAsia" w:ascii="仿宋_GB2312" w:hAnsi="仿宋_GB2312" w:eastAsia="仿宋_GB2312" w:cs="仿宋_GB2312"/>
          <w:sz w:val="28"/>
          <w:szCs w:val="36"/>
          <w:highlight w:val="none"/>
          <w:lang w:eastAsia="zh-CN"/>
        </w:rPr>
        <w:t>张延龙</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副组长：洪  波  王文良</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成  员：高  天  李厚华  史承勇  卫晓晶  韩</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硕  </w:t>
      </w:r>
    </w:p>
    <w:p>
      <w:pPr>
        <w:keepNext w:val="0"/>
        <w:keepLines w:val="0"/>
        <w:pageBreakBefore w:val="0"/>
        <w:kinsoku/>
        <w:wordWrap/>
        <w:overflowPunct/>
        <w:topLinePunct w:val="0"/>
        <w:bidi w:val="0"/>
        <w:snapToGrid/>
        <w:spacing w:line="560" w:lineRule="atLeast"/>
        <w:ind w:firstLine="1920" w:firstLineChars="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研究生代表</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atLeast"/>
        <w:jc w:val="center"/>
        <w:textAlignment w:val="auto"/>
        <w:rPr>
          <w:rFonts w:hint="default"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eastAsia="zh-CN"/>
        </w:rPr>
        <w:t>第三章</w:t>
      </w:r>
      <w:r>
        <w:rPr>
          <w:rFonts w:hint="eastAsia" w:ascii="黑体" w:hAnsi="黑体" w:eastAsia="黑体" w:cs="黑体"/>
          <w:kern w:val="0"/>
          <w:sz w:val="32"/>
          <w:szCs w:val="32"/>
          <w:highlight w:val="none"/>
          <w:lang w:val="en-US" w:eastAsia="zh-CN"/>
        </w:rPr>
        <w:t xml:space="preserve"> 评选对象及奖助体系</w:t>
      </w:r>
    </w:p>
    <w:p>
      <w:pPr>
        <w:keepNext w:val="0"/>
        <w:keepLines w:val="0"/>
        <w:pageBreakBefore w:val="0"/>
        <w:widowControl/>
        <w:kinsoku/>
        <w:wordWrap/>
        <w:overflowPunct/>
        <w:topLinePunct w:val="0"/>
        <w:bidi w:val="0"/>
        <w:snapToGrid/>
        <w:spacing w:line="560" w:lineRule="atLeas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第三条</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评选对象</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研究生学业奖学金奖励对象为就读我院的在籍的全</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rPr>
        <w:t>制非在职研究生，且具有中华人民共和国国籍。</w:t>
      </w:r>
    </w:p>
    <w:p>
      <w:pPr>
        <w:pStyle w:val="9"/>
        <w:keepNext w:val="0"/>
        <w:keepLines w:val="0"/>
        <w:pageBreakBefore w:val="0"/>
        <w:widowControl/>
        <w:kinsoku/>
        <w:wordWrap/>
        <w:overflowPunct/>
        <w:topLinePunct w:val="0"/>
        <w:autoSpaceDE/>
        <w:autoSpaceDN/>
        <w:bidi w:val="0"/>
        <w:adjustRightInd/>
        <w:snapToGrid/>
        <w:spacing w:line="560" w:lineRule="atLeast"/>
        <w:ind w:right="0" w:rightChars="0"/>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研究生学业奖学金的奖励年限为研究生基本学制年限</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以学籍信息为准</w:t>
      </w:r>
      <w:r>
        <w:rPr>
          <w:rFonts w:hint="eastAsia" w:ascii="仿宋_GB2312" w:hAnsi="仿宋_GB2312" w:eastAsia="仿宋_GB2312" w:cs="仿宋_GB2312"/>
          <w:kern w:val="0"/>
          <w:sz w:val="32"/>
          <w:szCs w:val="32"/>
          <w:highlight w:val="none"/>
        </w:rPr>
        <w:t xml:space="preserve">。 </w:t>
      </w:r>
    </w:p>
    <w:p>
      <w:pPr>
        <w:pStyle w:val="9"/>
        <w:keepNext w:val="0"/>
        <w:keepLines w:val="0"/>
        <w:pageBreakBefore w:val="0"/>
        <w:widowControl/>
        <w:kinsoku/>
        <w:wordWrap/>
        <w:overflowPunct/>
        <w:topLinePunct w:val="0"/>
        <w:autoSpaceDE/>
        <w:autoSpaceDN/>
        <w:bidi w:val="0"/>
        <w:adjustRightInd/>
        <w:snapToGrid/>
        <w:spacing w:line="560" w:lineRule="atLeast"/>
        <w:ind w:right="0" w:rightChars="0"/>
        <w:jc w:val="both"/>
        <w:textAlignment w:val="auto"/>
        <w:outlineLvl w:val="9"/>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二年级</w:t>
      </w:r>
      <w:r>
        <w:rPr>
          <w:rFonts w:hint="eastAsia" w:ascii="仿宋_GB2312" w:hAnsi="仿宋_GB2312" w:eastAsia="仿宋_GB2312" w:cs="仿宋_GB2312"/>
          <w:kern w:val="0"/>
          <w:sz w:val="32"/>
          <w:szCs w:val="32"/>
          <w:highlight w:val="none"/>
          <w:lang w:val="en-US" w:eastAsia="zh-CN"/>
        </w:rPr>
        <w:t>及以上基本学习年限内</w:t>
      </w:r>
      <w:r>
        <w:rPr>
          <w:rFonts w:hint="eastAsia" w:ascii="仿宋_GB2312" w:hAnsi="仿宋_GB2312" w:eastAsia="仿宋_GB2312" w:cs="仿宋_GB2312"/>
          <w:kern w:val="0"/>
          <w:sz w:val="32"/>
          <w:szCs w:val="32"/>
          <w:highlight w:val="none"/>
        </w:rPr>
        <w:t>研究生学业奖学金的评审根据参评学年研究生的思想品德、学习成绩、科研成果等内容进行综合评价。</w:t>
      </w:r>
    </w:p>
    <w:p>
      <w:pPr>
        <w:keepNext w:val="0"/>
        <w:keepLines w:val="0"/>
        <w:pageBreakBefore w:val="0"/>
        <w:widowControl/>
        <w:kinsoku/>
        <w:wordWrap/>
        <w:overflowPunct/>
        <w:topLinePunct w:val="0"/>
        <w:bidi w:val="0"/>
        <w:snapToGrid/>
        <w:spacing w:line="560" w:lineRule="atLeast"/>
        <w:ind w:firstLine="640"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第四条</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lang w:eastAsia="zh-CN"/>
        </w:rPr>
        <w:t>奖励金额及比例</w:t>
      </w:r>
    </w:p>
    <w:p>
      <w:pPr>
        <w:pStyle w:val="9"/>
        <w:keepNext w:val="0"/>
        <w:keepLines w:val="0"/>
        <w:pageBreakBefore w:val="0"/>
        <w:widowControl/>
        <w:kinsoku/>
        <w:wordWrap/>
        <w:overflowPunct/>
        <w:topLinePunct w:val="0"/>
        <w:bidi w:val="0"/>
        <w:snapToGrid/>
        <w:spacing w:line="560" w:lineRule="atLeast"/>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博士研究生学业奖学金平均奖励标准为每生每年15000元。</w:t>
      </w:r>
      <w:r>
        <w:rPr>
          <w:rFonts w:hint="eastAsia" w:ascii="仿宋_GB2312" w:hAnsi="仿宋_GB2312" w:eastAsia="仿宋_GB2312" w:cs="仿宋_GB2312"/>
          <w:kern w:val="0"/>
          <w:sz w:val="32"/>
          <w:szCs w:val="32"/>
          <w:highlight w:val="none"/>
          <w:lang w:val="en-US" w:eastAsia="zh-CN"/>
        </w:rPr>
        <w:t>一年级</w:t>
      </w:r>
      <w:r>
        <w:rPr>
          <w:rFonts w:hint="eastAsia" w:ascii="仿宋_GB2312" w:hAnsi="仿宋_GB2312" w:eastAsia="仿宋_GB2312" w:cs="仿宋_GB2312"/>
          <w:kern w:val="0"/>
          <w:sz w:val="32"/>
          <w:szCs w:val="32"/>
          <w:highlight w:val="none"/>
        </w:rPr>
        <w:t>不分等级；</w:t>
      </w:r>
      <w:r>
        <w:rPr>
          <w:rFonts w:hint="eastAsia" w:ascii="仿宋_GB2312" w:hAnsi="仿宋_GB2312" w:eastAsia="仿宋_GB2312" w:cs="仿宋_GB2312"/>
          <w:kern w:val="0"/>
          <w:sz w:val="32"/>
          <w:szCs w:val="32"/>
          <w:highlight w:val="none"/>
          <w:lang w:val="en-US" w:eastAsia="zh-CN"/>
        </w:rPr>
        <w:t>二年级及以上基本学习年限内博士研究生分等级评选，</w:t>
      </w:r>
      <w:r>
        <w:rPr>
          <w:rFonts w:hint="eastAsia" w:ascii="仿宋_GB2312" w:hAnsi="仿宋_GB2312" w:eastAsia="仿宋_GB2312" w:cs="仿宋_GB2312"/>
          <w:kern w:val="0"/>
          <w:sz w:val="32"/>
          <w:szCs w:val="32"/>
          <w:highlight w:val="none"/>
        </w:rPr>
        <w:t>分别为一等奖每生每年18000元、二等奖每生每年15000元、三等奖每生每年12000元</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奖励比例为一等奖占20%、二等奖占60%、三等奖占20%。</w:t>
      </w:r>
    </w:p>
    <w:p>
      <w:pPr>
        <w:pStyle w:val="9"/>
        <w:keepNext w:val="0"/>
        <w:keepLines w:val="0"/>
        <w:pageBreakBefore w:val="0"/>
        <w:widowControl/>
        <w:kinsoku/>
        <w:wordWrap/>
        <w:overflowPunct/>
        <w:topLinePunct w:val="0"/>
        <w:bidi w:val="0"/>
        <w:snapToGrid/>
        <w:spacing w:line="560" w:lineRule="atLeast"/>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学术型硕士研究生学业奖学金平均奖励标准为每生每年8000元。第一学年不分等级；第二和第三学年奖励等级与标准分别为一等奖每生每年10000元、二等奖每生每年8000元、三等奖每生每年6000元</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奖励比例为一等奖占20%、二等奖占60%、三等奖占20%。</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全日制专业学位硕士研究生学业奖学金平均奖励标准为每生每年8000元，不分等级。</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直博生、硕博连读研究生第一至第二学年执行学术型硕士研究生的奖励标准，直博生第三至第五</w:t>
      </w:r>
      <w:bookmarkStart w:id="0" w:name="_GoBack"/>
      <w:bookmarkEnd w:id="0"/>
      <w:r>
        <w:rPr>
          <w:rFonts w:hint="eastAsia" w:ascii="仿宋_GB2312" w:hAnsi="仿宋_GB2312" w:eastAsia="仿宋_GB2312" w:cs="仿宋_GB2312"/>
          <w:kern w:val="0"/>
          <w:sz w:val="32"/>
          <w:szCs w:val="32"/>
          <w:highlight w:val="none"/>
        </w:rPr>
        <w:t>学年执行博士研究生的奖励标准，硕博连读研究生转为博士研究生者执行博士研究生奖励标准，转为硕士研究生者执行学术型硕士研究生奖励标准。</w:t>
      </w:r>
    </w:p>
    <w:p>
      <w:pPr>
        <w:keepNext w:val="0"/>
        <w:keepLines w:val="0"/>
        <w:pageBreakBefore w:val="0"/>
        <w:widowControl w:val="0"/>
        <w:tabs>
          <w:tab w:val="left" w:pos="6123"/>
        </w:tabs>
        <w:kinsoku/>
        <w:wordWrap/>
        <w:overflowPunct/>
        <w:topLinePunct w:val="0"/>
        <w:autoSpaceDE/>
        <w:autoSpaceDN/>
        <w:bidi w:val="0"/>
        <w:adjustRightInd/>
        <w:snapToGrid/>
        <w:spacing w:before="157" w:beforeLines="50" w:after="157" w:afterLines="50" w:line="560" w:lineRule="atLeast"/>
        <w:jc w:val="center"/>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第四章 申请程序</w:t>
      </w:r>
    </w:p>
    <w:p>
      <w:pPr>
        <w:keepNext w:val="0"/>
        <w:keepLines w:val="0"/>
        <w:pageBreakBefore w:val="0"/>
        <w:widowControl/>
        <w:kinsoku/>
        <w:wordWrap/>
        <w:overflowPunct/>
        <w:topLinePunct w:val="0"/>
        <w:bidi w:val="0"/>
        <w:snapToGrid/>
        <w:spacing w:line="560" w:lineRule="atLeast"/>
        <w:ind w:firstLine="640" w:firstLineChars="200"/>
        <w:jc w:val="left"/>
        <w:textAlignment w:val="auto"/>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b w:val="0"/>
          <w:bCs w:val="0"/>
          <w:kern w:val="0"/>
          <w:sz w:val="32"/>
          <w:szCs w:val="32"/>
          <w:highlight w:val="none"/>
          <w:lang w:eastAsia="zh-CN"/>
        </w:rPr>
        <w:t>第五条</w:t>
      </w:r>
      <w:r>
        <w:rPr>
          <w:rFonts w:hint="eastAsia" w:ascii="仿宋_GB2312" w:hAnsi="仿宋_GB2312" w:eastAsia="仿宋_GB2312" w:cs="仿宋_GB2312"/>
          <w:b w:val="0"/>
          <w:bCs w:val="0"/>
          <w:kern w:val="0"/>
          <w:sz w:val="32"/>
          <w:szCs w:val="32"/>
          <w:highlight w:val="none"/>
          <w:lang w:val="en-US" w:eastAsia="zh-CN"/>
        </w:rPr>
        <w:t xml:space="preserve"> </w:t>
      </w:r>
      <w:r>
        <w:rPr>
          <w:rFonts w:hint="eastAsia" w:ascii="仿宋_GB2312" w:hAnsi="仿宋_GB2312" w:eastAsia="仿宋_GB2312" w:cs="仿宋_GB2312"/>
          <w:b w:val="0"/>
          <w:bCs w:val="0"/>
          <w:kern w:val="0"/>
          <w:sz w:val="32"/>
          <w:szCs w:val="32"/>
          <w:highlight w:val="none"/>
        </w:rPr>
        <w:t>申请条件</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1.具有中华人民共和国国籍且就读我校的全日制研究生（不包括工商管理、公共管理专业研究生和在职研究生），且具备下列基本条件： </w:t>
      </w:r>
    </w:p>
    <w:p>
      <w:pPr>
        <w:pStyle w:val="9"/>
        <w:keepNext w:val="0"/>
        <w:keepLines w:val="0"/>
        <w:pageBreakBefore w:val="0"/>
        <w:widowControl/>
        <w:kinsoku/>
        <w:wordWrap/>
        <w:overflowPunct/>
        <w:topLinePunct w:val="0"/>
        <w:bidi w:val="0"/>
        <w:snapToGrid/>
        <w:spacing w:line="560" w:lineRule="atLeast"/>
        <w:ind w:left="57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（1）热爱社会主义祖国，拥护中国共产党的领导；</w:t>
      </w:r>
    </w:p>
    <w:p>
      <w:pPr>
        <w:pStyle w:val="9"/>
        <w:keepNext w:val="0"/>
        <w:keepLines w:val="0"/>
        <w:pageBreakBefore w:val="0"/>
        <w:widowControl/>
        <w:kinsoku/>
        <w:wordWrap/>
        <w:overflowPunct/>
        <w:topLinePunct w:val="0"/>
        <w:bidi w:val="0"/>
        <w:snapToGrid/>
        <w:spacing w:line="560" w:lineRule="atLeast"/>
        <w:ind w:left="57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（2）遵守宪法和法律，遵守学校规章制度；</w:t>
      </w:r>
    </w:p>
    <w:p>
      <w:pPr>
        <w:pStyle w:val="9"/>
        <w:keepNext w:val="0"/>
        <w:keepLines w:val="0"/>
        <w:pageBreakBefore w:val="0"/>
        <w:widowControl/>
        <w:kinsoku/>
        <w:wordWrap/>
        <w:overflowPunct/>
        <w:topLinePunct w:val="0"/>
        <w:bidi w:val="0"/>
        <w:snapToGrid/>
        <w:spacing w:line="560" w:lineRule="atLeast"/>
        <w:ind w:left="57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（3）诚实守信，品学兼优；</w:t>
      </w:r>
    </w:p>
    <w:p>
      <w:pPr>
        <w:pStyle w:val="9"/>
        <w:keepNext w:val="0"/>
        <w:keepLines w:val="0"/>
        <w:pageBreakBefore w:val="0"/>
        <w:widowControl/>
        <w:kinsoku/>
        <w:wordWrap/>
        <w:overflowPunct/>
        <w:topLinePunct w:val="0"/>
        <w:bidi w:val="0"/>
        <w:snapToGrid/>
        <w:spacing w:line="560" w:lineRule="atLeast"/>
        <w:ind w:left="57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（4）积极参与科学研究和社会实践；</w:t>
      </w:r>
    </w:p>
    <w:p>
      <w:pPr>
        <w:pStyle w:val="9"/>
        <w:keepNext w:val="0"/>
        <w:keepLines w:val="0"/>
        <w:pageBreakBefore w:val="0"/>
        <w:widowControl/>
        <w:kinsoku/>
        <w:wordWrap/>
        <w:overflowPunct/>
        <w:topLinePunct w:val="0"/>
        <w:bidi w:val="0"/>
        <w:snapToGrid/>
        <w:spacing w:line="560" w:lineRule="atLeast"/>
        <w:ind w:left="57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（5）本人提出申请且导师同意参评。</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2.具备下列情形之一的，取消当年申请资格：</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（1）课程考试有一门及以上不及格的； </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（2）在学校规定时间内未完成学籍注册手续者；</w:t>
      </w:r>
    </w:p>
    <w:p>
      <w:pPr>
        <w:pStyle w:val="9"/>
        <w:keepNext w:val="0"/>
        <w:keepLines w:val="0"/>
        <w:pageBreakBefore w:val="0"/>
        <w:widowControl/>
        <w:kinsoku/>
        <w:wordWrap/>
        <w:overflowPunct/>
        <w:topLinePunct w:val="0"/>
        <w:bidi w:val="0"/>
        <w:snapToGrid/>
        <w:spacing w:line="560" w:lineRule="atLeast"/>
        <w:ind w:left="0" w:leftChars="0"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（3）学术研究中</w:t>
      </w:r>
      <w:r>
        <w:rPr>
          <w:rFonts w:hint="eastAsia" w:ascii="仿宋_GB2312" w:hAnsi="仿宋_GB2312" w:eastAsia="仿宋_GB2312" w:cs="仿宋_GB2312"/>
          <w:kern w:val="0"/>
          <w:sz w:val="32"/>
          <w:szCs w:val="32"/>
          <w:highlight w:val="none"/>
          <w:lang w:eastAsia="zh-CN"/>
        </w:rPr>
        <w:t>有</w:t>
      </w:r>
      <w:r>
        <w:rPr>
          <w:rFonts w:hint="eastAsia" w:ascii="仿宋_GB2312" w:hAnsi="仿宋_GB2312" w:eastAsia="仿宋_GB2312" w:cs="仿宋_GB2312"/>
          <w:kern w:val="0"/>
          <w:sz w:val="32"/>
          <w:szCs w:val="32"/>
          <w:highlight w:val="none"/>
        </w:rPr>
        <w:t>违反学术道德</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行为或申请材料中弄虚作假者；</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（4）在学习或科研工作中，因个人主观行为给学校带来严重损失者；</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（5）违反国家法律法规或校纪校规受到记过以上（含记过）纪律处分者。</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3.因公在国（境）外学习且具有我校学籍的研究生，仍具备研究生学业奖学金申请资格。研究生在休学或保留学籍期间，不具备研究生学业奖学金申请资格。</w:t>
      </w:r>
    </w:p>
    <w:p>
      <w:pPr>
        <w:keepNext w:val="0"/>
        <w:keepLines w:val="0"/>
        <w:pageBreakBefore w:val="0"/>
        <w:tabs>
          <w:tab w:val="left" w:pos="6123"/>
        </w:tabs>
        <w:kinsoku/>
        <w:wordWrap/>
        <w:overflowPunct/>
        <w:topLinePunct w:val="0"/>
        <w:bidi w:val="0"/>
        <w:snapToGrid/>
        <w:spacing w:line="560" w:lineRule="atLeast"/>
        <w:ind w:firstLine="629"/>
        <w:textAlignment w:val="auto"/>
        <w:rPr>
          <w:rFonts w:hint="default"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eastAsia="zh-CN"/>
        </w:rPr>
        <w:t>第六条</w:t>
      </w:r>
      <w:r>
        <w:rPr>
          <w:rFonts w:hint="eastAsia" w:ascii="仿宋_GB2312" w:hAnsi="仿宋_GB2312" w:eastAsia="仿宋_GB2312" w:cs="仿宋_GB2312"/>
          <w:b w:val="0"/>
          <w:bCs/>
          <w:kern w:val="0"/>
          <w:sz w:val="32"/>
          <w:szCs w:val="32"/>
          <w:highlight w:val="none"/>
          <w:lang w:val="en-US" w:eastAsia="zh-CN"/>
        </w:rPr>
        <w:t xml:space="preserve"> 申请流程</w:t>
      </w:r>
    </w:p>
    <w:p>
      <w:pPr>
        <w:keepNext w:val="0"/>
        <w:keepLines w:val="0"/>
        <w:pageBreakBefore w:val="0"/>
        <w:kinsoku/>
        <w:wordWrap/>
        <w:overflowPunct/>
        <w:topLinePunct w:val="0"/>
        <w:bidi w:val="0"/>
        <w:snapToGrid/>
        <w:spacing w:line="560" w:lineRule="atLeas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1.个人申请。研究生填写学业奖学金申请表，经导师签署意见后，提交研究生各班班长，并提供有关证明材料。</w:t>
      </w:r>
    </w:p>
    <w:p>
      <w:pPr>
        <w:keepNext w:val="0"/>
        <w:keepLines w:val="0"/>
        <w:pageBreakBefore w:val="0"/>
        <w:widowControl/>
        <w:kinsoku/>
        <w:wordWrap/>
        <w:overflowPunct/>
        <w:topLinePunct w:val="0"/>
        <w:bidi w:val="0"/>
        <w:snapToGrid/>
        <w:spacing w:line="560" w:lineRule="atLeas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2.组织评审。</w:t>
      </w:r>
      <w:r>
        <w:rPr>
          <w:rFonts w:hint="eastAsia" w:ascii="仿宋_GB2312" w:hAnsi="仿宋_GB2312" w:eastAsia="仿宋_GB2312" w:cs="仿宋_GB2312"/>
          <w:kern w:val="0"/>
          <w:sz w:val="32"/>
          <w:szCs w:val="32"/>
          <w:highlight w:val="none"/>
          <w:shd w:val="clear" w:color="auto" w:fill="FFFFFF"/>
        </w:rPr>
        <w:t>研究生奖学金评定工作小组</w:t>
      </w:r>
      <w:r>
        <w:rPr>
          <w:rFonts w:hint="eastAsia" w:ascii="仿宋_GB2312" w:hAnsi="仿宋_GB2312" w:eastAsia="仿宋_GB2312" w:cs="仿宋_GB2312"/>
          <w:kern w:val="0"/>
          <w:sz w:val="32"/>
          <w:szCs w:val="32"/>
          <w:highlight w:val="none"/>
        </w:rPr>
        <w:t>组织专家组进行评审，评审结果在院内公示3个工作日。公示无异议后，提交学校研究生学业奖学金专项工作组审定。</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3.学校审定。学校研究生学业奖学金专项工作组对各学院的评审结果进行审定，审定结果在校内公示</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个工作日。公示无异议后，将审定名单提交计划财务处发放研究生学业奖学金。</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4.对研究生学业奖学金评审工作及结果有异议者，可在公示阶段向</w:t>
      </w:r>
      <w:r>
        <w:rPr>
          <w:rFonts w:hint="eastAsia" w:ascii="仿宋_GB2312" w:hAnsi="仿宋_GB2312" w:eastAsia="仿宋_GB2312" w:cs="仿宋_GB2312"/>
          <w:kern w:val="0"/>
          <w:sz w:val="32"/>
          <w:szCs w:val="32"/>
          <w:highlight w:val="none"/>
          <w:lang w:eastAsia="zh-CN"/>
        </w:rPr>
        <w:t>学院</w:t>
      </w:r>
      <w:r>
        <w:rPr>
          <w:rFonts w:hint="eastAsia" w:ascii="仿宋_GB2312" w:hAnsi="仿宋_GB2312" w:eastAsia="仿宋_GB2312" w:cs="仿宋_GB2312"/>
          <w:kern w:val="0"/>
          <w:sz w:val="32"/>
          <w:szCs w:val="32"/>
          <w:highlight w:val="none"/>
        </w:rPr>
        <w:t>奖助工作小组提出申诉，</w:t>
      </w:r>
      <w:r>
        <w:rPr>
          <w:rFonts w:hint="eastAsia" w:ascii="仿宋_GB2312" w:hAnsi="仿宋_GB2312" w:eastAsia="仿宋_GB2312" w:cs="仿宋_GB2312"/>
          <w:kern w:val="0"/>
          <w:sz w:val="32"/>
          <w:szCs w:val="32"/>
          <w:highlight w:val="none"/>
          <w:lang w:eastAsia="zh-CN"/>
        </w:rPr>
        <w:t>学院</w:t>
      </w:r>
      <w:r>
        <w:rPr>
          <w:rFonts w:hint="eastAsia" w:ascii="仿宋_GB2312" w:hAnsi="仿宋_GB2312" w:eastAsia="仿宋_GB2312" w:cs="仿宋_GB2312"/>
          <w:kern w:val="0"/>
          <w:sz w:val="32"/>
          <w:szCs w:val="32"/>
          <w:highlight w:val="none"/>
        </w:rPr>
        <w:t>奖助工作小组及时研究并予以答复。如申诉人对系奖助工作小组做出的答复仍存在异议，可在学校公示阶段向研究生学业奖学金专项工作组提请裁决。</w:t>
      </w:r>
    </w:p>
    <w:p>
      <w:pPr>
        <w:keepNext w:val="0"/>
        <w:keepLines w:val="0"/>
        <w:pageBreakBefore w:val="0"/>
        <w:widowControl w:val="0"/>
        <w:tabs>
          <w:tab w:val="left" w:pos="6123"/>
        </w:tabs>
        <w:kinsoku/>
        <w:wordWrap/>
        <w:overflowPunct/>
        <w:topLinePunct w:val="0"/>
        <w:autoSpaceDE/>
        <w:autoSpaceDN/>
        <w:bidi w:val="0"/>
        <w:adjustRightInd/>
        <w:snapToGrid/>
        <w:spacing w:before="157" w:beforeLines="50" w:after="157" w:afterLines="50" w:line="560" w:lineRule="atLeast"/>
        <w:jc w:val="center"/>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第五章 指标体系和参照标准</w:t>
      </w:r>
    </w:p>
    <w:p>
      <w:pPr>
        <w:keepNext w:val="0"/>
        <w:keepLines w:val="0"/>
        <w:pageBreakBefore w:val="0"/>
        <w:kinsoku/>
        <w:wordWrap/>
        <w:overflowPunct/>
        <w:topLinePunct w:val="0"/>
        <w:bidi w:val="0"/>
        <w:snapToGrid/>
        <w:spacing w:line="560" w:lineRule="atLeast"/>
        <w:ind w:firstLine="627" w:firstLineChars="196"/>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第七条 指标体系</w:t>
      </w:r>
    </w:p>
    <w:p>
      <w:pPr>
        <w:keepNext w:val="0"/>
        <w:keepLines w:val="0"/>
        <w:pageBreakBefore w:val="0"/>
        <w:kinsoku/>
        <w:wordWrap/>
        <w:overflowPunct/>
        <w:topLinePunct w:val="0"/>
        <w:bidi w:val="0"/>
        <w:snapToGrid/>
        <w:spacing w:line="560" w:lineRule="atLeast"/>
        <w:ind w:firstLine="627" w:firstLineChars="196"/>
        <w:textAlignment w:val="auto"/>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lang w:val="en-US" w:eastAsia="zh-CN"/>
        </w:rPr>
        <w:t>1.</w:t>
      </w:r>
      <w:r>
        <w:rPr>
          <w:rFonts w:hint="eastAsia" w:ascii="仿宋_GB2312" w:hAnsi="仿宋_GB2312" w:eastAsia="仿宋_GB2312" w:cs="仿宋_GB2312"/>
          <w:b w:val="0"/>
          <w:bCs/>
          <w:kern w:val="0"/>
          <w:sz w:val="32"/>
          <w:szCs w:val="32"/>
          <w:highlight w:val="none"/>
        </w:rPr>
        <w:t>指标体系</w:t>
      </w:r>
    </w:p>
    <w:p>
      <w:pPr>
        <w:keepNext w:val="0"/>
        <w:keepLines w:val="0"/>
        <w:pageBreakBefore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奖学金评定指标体系包括思想品德、学习成绩、科研成果三项内容。其中思想品德为</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0%，学习成绩为30%，科研成果为</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0%。</w:t>
      </w:r>
    </w:p>
    <w:p>
      <w:pPr>
        <w:keepNext w:val="0"/>
        <w:keepLines w:val="0"/>
        <w:pageBreakBefore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计分公式为：</w:t>
      </w:r>
    </w:p>
    <w:p>
      <w:pPr>
        <w:keepNext w:val="0"/>
        <w:keepLines w:val="0"/>
        <w:pageBreakBefore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总分=思想品德×</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0%+学业成绩×30%+科研成果</w:t>
      </w:r>
      <w:r>
        <w:rPr>
          <w:rFonts w:hint="eastAsia" w:ascii="仿宋_GB2312" w:hAnsi="仿宋_GB2312" w:eastAsia="仿宋_GB2312" w:cs="仿宋_GB2312"/>
          <w:kern w:val="0"/>
          <w:sz w:val="32"/>
          <w:szCs w:val="32"/>
          <w:highlight w:val="none"/>
          <w:lang w:eastAsia="zh-CN"/>
        </w:rPr>
        <w:t>标准化成绩</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其中</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“思想品德”由班级提供材料、研究生秘书审核确认；学习成绩由班级组织计算，研究生秘书审核确认；科研成果由导师、研究生秘书、班级审核确认。</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lang w:val="en-US" w:eastAsia="zh-CN"/>
        </w:rPr>
        <w:t xml:space="preserve">第八条 </w:t>
      </w:r>
      <w:r>
        <w:rPr>
          <w:rFonts w:hint="eastAsia" w:ascii="仿宋_GB2312" w:hAnsi="仿宋_GB2312" w:eastAsia="仿宋_GB2312" w:cs="仿宋_GB2312"/>
          <w:b w:val="0"/>
          <w:bCs/>
          <w:kern w:val="0"/>
          <w:sz w:val="32"/>
          <w:szCs w:val="32"/>
          <w:highlight w:val="none"/>
        </w:rPr>
        <w:t>参照标准</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rPr>
        <w:t>思想品德（满分</w:t>
      </w:r>
      <w:r>
        <w:rPr>
          <w:rFonts w:hint="eastAsia" w:ascii="仿宋_GB2312" w:hAnsi="仿宋_GB2312" w:eastAsia="仿宋_GB2312" w:cs="仿宋_GB2312"/>
          <w:b w:val="0"/>
          <w:bCs/>
          <w:kern w:val="0"/>
          <w:sz w:val="32"/>
          <w:szCs w:val="32"/>
          <w:highlight w:val="none"/>
          <w:lang w:val="en-US" w:eastAsia="zh-CN"/>
        </w:rPr>
        <w:t>2</w:t>
      </w:r>
      <w:r>
        <w:rPr>
          <w:rFonts w:hint="eastAsia" w:ascii="仿宋_GB2312" w:hAnsi="仿宋_GB2312" w:eastAsia="仿宋_GB2312" w:cs="仿宋_GB2312"/>
          <w:b w:val="0"/>
          <w:bCs/>
          <w:kern w:val="0"/>
          <w:sz w:val="32"/>
          <w:szCs w:val="32"/>
          <w:highlight w:val="none"/>
        </w:rPr>
        <w:t>0分）：具体评分参照标准见附表。</w:t>
      </w:r>
    </w:p>
    <w:p>
      <w:pPr>
        <w:keepNext w:val="0"/>
        <w:keepLines w:val="0"/>
        <w:pageBreakBefore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val="0"/>
          <w:bCs/>
          <w:kern w:val="0"/>
          <w:sz w:val="32"/>
          <w:szCs w:val="32"/>
          <w:highlight w:val="none"/>
        </w:rPr>
        <w:t>学习成绩（满分30分）：学</w:t>
      </w:r>
      <w:r>
        <w:rPr>
          <w:rFonts w:hint="eastAsia" w:ascii="仿宋_GB2312" w:hAnsi="仿宋_GB2312" w:eastAsia="仿宋_GB2312" w:cs="仿宋_GB2312"/>
          <w:kern w:val="0"/>
          <w:sz w:val="32"/>
          <w:szCs w:val="32"/>
          <w:highlight w:val="none"/>
        </w:rPr>
        <w:t xml:space="preserve">习成绩由课程成绩和外语成绩两部分组成。课程成绩评分计算公式为： </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kern w:val="0"/>
          <w:sz w:val="32"/>
          <w:szCs w:val="32"/>
          <w:highlight w:val="none"/>
        </w:rPr>
        <w:t>课程成绩评分=[Σ（课程成绩×学分）/Σ学分]*</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0％，其中课程是指</w:t>
      </w:r>
      <w:r>
        <w:rPr>
          <w:rFonts w:hint="eastAsia" w:ascii="仿宋_GB2312" w:hAnsi="仿宋_GB2312" w:eastAsia="仿宋_GB2312" w:cs="仿宋_GB2312"/>
          <w:color w:val="000000"/>
          <w:kern w:val="0"/>
          <w:sz w:val="32"/>
          <w:szCs w:val="32"/>
          <w:highlight w:val="none"/>
        </w:rPr>
        <w:t>本学年所修的研究生培养方案中确定的课程（不含补本科课程），如课程按优、良、中、及格、不及格计分，优按90分计，良按80分计，中按70分计，及格按60分计。</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外语成绩：托福成绩</w:t>
      </w:r>
      <w:r>
        <w:rPr>
          <w:rFonts w:hint="eastAsia" w:ascii="仿宋_GB2312" w:hAnsi="仿宋_GB2312" w:eastAsia="仿宋_GB2312" w:cs="仿宋_GB2312"/>
          <w:color w:val="000000"/>
          <w:kern w:val="0"/>
          <w:sz w:val="32"/>
          <w:szCs w:val="32"/>
          <w:highlight w:val="none"/>
          <w:lang w:val="en-US" w:eastAsia="zh-CN"/>
        </w:rPr>
        <w:t>90</w:t>
      </w:r>
      <w:r>
        <w:rPr>
          <w:rFonts w:hint="eastAsia" w:ascii="仿宋_GB2312" w:hAnsi="仿宋_GB2312" w:eastAsia="仿宋_GB2312" w:cs="仿宋_GB2312"/>
          <w:color w:val="000000"/>
          <w:kern w:val="0"/>
          <w:sz w:val="32"/>
          <w:szCs w:val="32"/>
          <w:highlight w:val="none"/>
        </w:rPr>
        <w:t>分以上，或雅思成绩6.</w:t>
      </w:r>
      <w:r>
        <w:rPr>
          <w:rFonts w:hint="eastAsia" w:ascii="仿宋_GB2312" w:hAnsi="仿宋_GB2312" w:eastAsia="仿宋_GB2312" w:cs="仿宋_GB2312"/>
          <w:color w:val="000000"/>
          <w:kern w:val="0"/>
          <w:sz w:val="32"/>
          <w:szCs w:val="32"/>
          <w:highlight w:val="none"/>
          <w:lang w:val="en-US" w:eastAsia="zh-CN"/>
        </w:rPr>
        <w:t>5及</w:t>
      </w:r>
      <w:r>
        <w:rPr>
          <w:rFonts w:hint="eastAsia" w:ascii="仿宋_GB2312" w:hAnsi="仿宋_GB2312" w:eastAsia="仿宋_GB2312" w:cs="仿宋_GB2312"/>
          <w:color w:val="000000"/>
          <w:kern w:val="0"/>
          <w:sz w:val="32"/>
          <w:szCs w:val="32"/>
          <w:highlight w:val="none"/>
        </w:rPr>
        <w:t>以上，或GRE成绩1000分以上加</w:t>
      </w: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分。</w:t>
      </w:r>
    </w:p>
    <w:p>
      <w:pPr>
        <w:keepNext w:val="0"/>
        <w:keepLines w:val="0"/>
        <w:pageBreakBefore w:val="0"/>
        <w:kinsoku/>
        <w:wordWrap/>
        <w:overflowPunct/>
        <w:topLinePunct w:val="0"/>
        <w:autoSpaceDE w:val="0"/>
        <w:autoSpaceDN w:val="0"/>
        <w:bidi w:val="0"/>
        <w:adjustRightInd w:val="0"/>
        <w:snapToGrid/>
        <w:spacing w:line="560" w:lineRule="atLeast"/>
        <w:ind w:firstLine="57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val="0"/>
          <w:bCs/>
          <w:kern w:val="0"/>
          <w:sz w:val="32"/>
          <w:szCs w:val="32"/>
          <w:highlight w:val="none"/>
        </w:rPr>
        <w:t>科研成果：具</w:t>
      </w:r>
      <w:r>
        <w:rPr>
          <w:rFonts w:hint="eastAsia" w:ascii="仿宋_GB2312" w:hAnsi="仿宋_GB2312" w:eastAsia="仿宋_GB2312" w:cs="仿宋_GB2312"/>
          <w:kern w:val="0"/>
          <w:sz w:val="32"/>
          <w:szCs w:val="32"/>
          <w:highlight w:val="none"/>
        </w:rPr>
        <w:t>体评分参照标准见附表。</w:t>
      </w:r>
    </w:p>
    <w:p>
      <w:pPr>
        <w:keepNext w:val="0"/>
        <w:keepLines w:val="0"/>
        <w:pageBreakBefore w:val="0"/>
        <w:widowControl w:val="0"/>
        <w:tabs>
          <w:tab w:val="left" w:pos="6123"/>
        </w:tabs>
        <w:kinsoku/>
        <w:wordWrap/>
        <w:overflowPunct/>
        <w:topLinePunct w:val="0"/>
        <w:autoSpaceDE/>
        <w:autoSpaceDN/>
        <w:bidi w:val="0"/>
        <w:adjustRightInd/>
        <w:snapToGrid/>
        <w:spacing w:before="157" w:beforeLines="50" w:after="157" w:afterLines="50" w:line="560" w:lineRule="atLeast"/>
        <w:jc w:val="center"/>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第六章 注意事项</w:t>
      </w:r>
    </w:p>
    <w:p>
      <w:pPr>
        <w:keepNext w:val="0"/>
        <w:keepLines w:val="0"/>
        <w:pageBreakBefore w:val="0"/>
        <w:numPr>
          <w:ilvl w:val="0"/>
          <w:numId w:val="0"/>
        </w:numPr>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 xml:space="preserve">第九条 </w:t>
      </w:r>
      <w:r>
        <w:rPr>
          <w:rFonts w:hint="eastAsia" w:ascii="仿宋_GB2312" w:hAnsi="仿宋_GB2312" w:eastAsia="仿宋_GB2312" w:cs="仿宋_GB2312"/>
          <w:kern w:val="0"/>
          <w:sz w:val="32"/>
          <w:szCs w:val="32"/>
          <w:highlight w:val="none"/>
        </w:rPr>
        <w:t>所有参评奖项、成果均为本学年范围内所获。</w:t>
      </w:r>
    </w:p>
    <w:p>
      <w:pPr>
        <w:keepNext w:val="0"/>
        <w:keepLines w:val="0"/>
        <w:pageBreakBefore w:val="0"/>
        <w:widowControl/>
        <w:kinsoku/>
        <w:wordWrap/>
        <w:overflowPunct/>
        <w:topLinePunct w:val="0"/>
        <w:bidi w:val="0"/>
        <w:snapToGrid/>
        <w:spacing w:line="560" w:lineRule="atLeas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val="0"/>
          <w:bCs/>
          <w:kern w:val="0"/>
          <w:sz w:val="32"/>
          <w:szCs w:val="32"/>
          <w:highlight w:val="none"/>
          <w:lang w:val="en-US" w:eastAsia="zh-CN"/>
        </w:rPr>
        <w:t xml:space="preserve">第十条 </w:t>
      </w:r>
      <w:r>
        <w:rPr>
          <w:rFonts w:hint="eastAsia" w:ascii="仿宋_GB2312" w:hAnsi="仿宋_GB2312" w:eastAsia="仿宋_GB2312" w:cs="仿宋_GB2312"/>
          <w:kern w:val="0"/>
          <w:sz w:val="32"/>
          <w:szCs w:val="32"/>
          <w:highlight w:val="none"/>
        </w:rPr>
        <w:t>已获得研究生学业奖学金的研究生，被发现存在本办法第</w:t>
      </w:r>
      <w:r>
        <w:rPr>
          <w:rFonts w:hint="eastAsia" w:ascii="仿宋_GB2312" w:hAnsi="仿宋_GB2312" w:eastAsia="仿宋_GB2312" w:cs="仿宋_GB2312"/>
          <w:kern w:val="0"/>
          <w:sz w:val="32"/>
          <w:szCs w:val="32"/>
          <w:highlight w:val="none"/>
          <w:lang w:eastAsia="zh-CN"/>
        </w:rPr>
        <w:t>五</w:t>
      </w:r>
      <w:r>
        <w:rPr>
          <w:rFonts w:hint="eastAsia" w:ascii="仿宋_GB2312" w:hAnsi="仿宋_GB2312" w:eastAsia="仿宋_GB2312" w:cs="仿宋_GB2312"/>
          <w:kern w:val="0"/>
          <w:sz w:val="32"/>
          <w:szCs w:val="32"/>
          <w:highlight w:val="none"/>
        </w:rPr>
        <w:t>条第2款情形的，取消当年研究生学业奖学金获奖资格，并追回已发放的研究生学业奖学金。</w:t>
      </w:r>
    </w:p>
    <w:p>
      <w:pPr>
        <w:keepNext w:val="0"/>
        <w:keepLines w:val="0"/>
        <w:pageBreakBefore w:val="0"/>
        <w:widowControl w:val="0"/>
        <w:tabs>
          <w:tab w:val="left" w:pos="6123"/>
        </w:tabs>
        <w:kinsoku/>
        <w:wordWrap/>
        <w:overflowPunct/>
        <w:topLinePunct w:val="0"/>
        <w:autoSpaceDE/>
        <w:autoSpaceDN/>
        <w:bidi w:val="0"/>
        <w:adjustRightInd/>
        <w:snapToGrid/>
        <w:spacing w:before="157" w:beforeLines="50" w:after="157" w:afterLines="50" w:line="560" w:lineRule="atLeast"/>
        <w:jc w:val="center"/>
        <w:textAlignment w:val="auto"/>
        <w:rPr>
          <w:rFonts w:hint="default"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第七章 附 则</w:t>
      </w:r>
    </w:p>
    <w:p>
      <w:pPr>
        <w:pStyle w:val="4"/>
        <w:keepNext w:val="0"/>
        <w:keepLines w:val="0"/>
        <w:pageBreakBefore w:val="0"/>
        <w:kinsoku/>
        <w:wordWrap/>
        <w:overflowPunct/>
        <w:topLinePunct w:val="0"/>
        <w:bidi w:val="0"/>
        <w:snapToGrid/>
        <w:spacing w:before="0" w:beforeAutospacing="0" w:after="0" w:afterAutospacing="0" w:line="560" w:lineRule="atLeas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第十一条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本办法自</w:t>
      </w:r>
      <w:r>
        <w:rPr>
          <w:rFonts w:hint="eastAsia" w:ascii="仿宋_GB2312" w:hAnsi="仿宋_GB2312" w:eastAsia="仿宋_GB2312" w:cs="仿宋_GB2312"/>
          <w:sz w:val="32"/>
          <w:szCs w:val="32"/>
          <w:highlight w:val="none"/>
          <w:lang w:eastAsia="zh-CN"/>
        </w:rPr>
        <w:t>公布之日</w:t>
      </w:r>
      <w:r>
        <w:rPr>
          <w:rFonts w:hint="eastAsia" w:ascii="仿宋_GB2312" w:hAnsi="仿宋_GB2312" w:eastAsia="仿宋_GB2312" w:cs="仿宋_GB2312"/>
          <w:sz w:val="32"/>
          <w:szCs w:val="32"/>
          <w:highlight w:val="none"/>
        </w:rPr>
        <w:t>起实施。</w:t>
      </w:r>
    </w:p>
    <w:p>
      <w:pPr>
        <w:keepNext w:val="0"/>
        <w:keepLines w:val="0"/>
        <w:pageBreakBefore w:val="0"/>
        <w:widowControl/>
        <w:kinsoku/>
        <w:wordWrap/>
        <w:overflowPunct/>
        <w:topLinePunct w:val="0"/>
        <w:bidi w:val="0"/>
        <w:snapToGrid/>
        <w:spacing w:line="560" w:lineRule="atLeast"/>
        <w:ind w:firstLine="627" w:firstLineChars="196"/>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bidi="ar-SA"/>
        </w:rPr>
        <w:t xml:space="preserve">第十二条 </w:t>
      </w:r>
      <w:r>
        <w:rPr>
          <w:rFonts w:hint="eastAsia" w:ascii="仿宋_GB2312" w:hAnsi="仿宋_GB2312" w:eastAsia="仿宋_GB2312" w:cs="仿宋_GB2312"/>
          <w:kern w:val="0"/>
          <w:sz w:val="32"/>
          <w:szCs w:val="32"/>
          <w:highlight w:val="none"/>
        </w:rPr>
        <w:t>未尽事宜，由学院</w:t>
      </w:r>
      <w:r>
        <w:rPr>
          <w:rFonts w:hint="eastAsia" w:ascii="仿宋_GB2312" w:hAnsi="仿宋_GB2312" w:eastAsia="仿宋_GB2312" w:cs="仿宋_GB2312"/>
          <w:kern w:val="0"/>
          <w:sz w:val="32"/>
          <w:szCs w:val="32"/>
          <w:highlight w:val="none"/>
          <w:shd w:val="clear" w:color="auto" w:fill="FFFFFF"/>
        </w:rPr>
        <w:t>研究生奖学金评定工作小组</w:t>
      </w:r>
      <w:r>
        <w:rPr>
          <w:rFonts w:hint="eastAsia" w:ascii="仿宋_GB2312" w:hAnsi="仿宋_GB2312" w:eastAsia="仿宋_GB2312" w:cs="仿宋_GB2312"/>
          <w:kern w:val="0"/>
          <w:sz w:val="32"/>
          <w:szCs w:val="32"/>
          <w:highlight w:val="none"/>
        </w:rPr>
        <w:t>另行议定。</w:t>
      </w:r>
    </w:p>
    <w:p>
      <w:pPr>
        <w:keepNext w:val="0"/>
        <w:keepLines w:val="0"/>
        <w:pageBreakBefore w:val="0"/>
        <w:widowControl/>
        <w:kinsoku/>
        <w:wordWrap/>
        <w:overflowPunct/>
        <w:topLinePunct w:val="0"/>
        <w:bidi w:val="0"/>
        <w:snapToGrid/>
        <w:spacing w:line="560" w:lineRule="atLeast"/>
        <w:ind w:firstLine="627" w:firstLineChars="196"/>
        <w:jc w:val="left"/>
        <w:textAlignment w:val="auto"/>
        <w:rPr>
          <w:rFonts w:hint="eastAsia" w:ascii="仿宋_GB2312" w:hAnsi="仿宋_GB2312" w:eastAsia="仿宋_GB2312" w:cs="仿宋_GB2312"/>
          <w:kern w:val="0"/>
          <w:sz w:val="32"/>
          <w:szCs w:val="32"/>
          <w:highlight w:val="none"/>
        </w:rPr>
      </w:pPr>
    </w:p>
    <w:p>
      <w:pPr>
        <w:keepNext w:val="0"/>
        <w:keepLines w:val="0"/>
        <w:pageBreakBefore w:val="0"/>
        <w:widowControl/>
        <w:kinsoku/>
        <w:wordWrap/>
        <w:overflowPunct/>
        <w:topLinePunct w:val="0"/>
        <w:bidi w:val="0"/>
        <w:snapToGrid/>
        <w:spacing w:line="560" w:lineRule="atLeast"/>
        <w:jc w:val="righ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风景园林艺术学院</w:t>
      </w:r>
    </w:p>
    <w:p>
      <w:pPr>
        <w:keepNext w:val="0"/>
        <w:keepLines w:val="0"/>
        <w:pageBreakBefore w:val="0"/>
        <w:widowControl/>
        <w:kinsoku/>
        <w:wordWrap/>
        <w:overflowPunct/>
        <w:topLinePunct w:val="0"/>
        <w:bidi w:val="0"/>
        <w:snapToGrid/>
        <w:spacing w:line="560" w:lineRule="atLeast"/>
        <w:jc w:val="right"/>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2014年10月18日</w:t>
      </w:r>
    </w:p>
    <w:p>
      <w:pPr>
        <w:spacing w:line="300" w:lineRule="auto"/>
        <w:rPr>
          <w:rFonts w:hint="eastAsia" w:ascii="黑体" w:eastAsia="黑体"/>
          <w:sz w:val="32"/>
          <w:szCs w:val="32"/>
          <w:highlight w:val="none"/>
        </w:rPr>
      </w:pPr>
      <w:r>
        <w:rPr>
          <w:rFonts w:hint="eastAsia" w:ascii="黑体" w:eastAsia="黑体"/>
          <w:sz w:val="32"/>
          <w:szCs w:val="32"/>
          <w:highlight w:val="none"/>
        </w:rPr>
        <w:br w:type="textWrapping"/>
      </w:r>
    </w:p>
    <w:p>
      <w:pPr>
        <w:rPr>
          <w:rFonts w:hint="eastAsia" w:ascii="黑体" w:eastAsia="黑体"/>
          <w:sz w:val="32"/>
          <w:szCs w:val="32"/>
          <w:highlight w:val="none"/>
        </w:rPr>
      </w:pPr>
      <w:r>
        <w:rPr>
          <w:rFonts w:hint="eastAsia" w:ascii="黑体" w:eastAsia="黑体"/>
          <w:sz w:val="32"/>
          <w:szCs w:val="32"/>
          <w:highlight w:val="none"/>
        </w:rPr>
        <w:br w:type="page"/>
      </w:r>
    </w:p>
    <w:p>
      <w:pPr>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highlight w:val="none"/>
        </w:rPr>
      </w:pPr>
      <w:r>
        <w:rPr>
          <w:rFonts w:hint="eastAsia" w:ascii="方正小标宋简体" w:hAnsi="方正小标宋简体" w:eastAsia="方正小标宋简体" w:cs="方正小标宋简体"/>
          <w:sz w:val="40"/>
          <w:szCs w:val="40"/>
          <w:highlight w:val="none"/>
        </w:rPr>
        <w:t>风景园林艺术学院学业奖学金评选计分标准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2"/>
          <w:szCs w:val="32"/>
          <w:highlight w:val="none"/>
        </w:rPr>
      </w:pP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基础分</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（一）</w:t>
      </w:r>
      <w:r>
        <w:rPr>
          <w:rFonts w:hint="eastAsia" w:ascii="仿宋_GB2312" w:eastAsia="仿宋_GB2312"/>
          <w:sz w:val="32"/>
          <w:szCs w:val="32"/>
          <w:highlight w:val="none"/>
        </w:rPr>
        <w:t>德育成绩分</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导师评分：研究生德育成绩由导师根据学生个人品质修养、参与集体活动和遵守校纪校规等方面，推荐学生参与评奖，导师同意参评，得6分；</w:t>
      </w:r>
      <w:r>
        <w:rPr>
          <w:rFonts w:hint="eastAsia" w:ascii="仿宋_GB2312" w:eastAsia="仿宋_GB2312"/>
          <w:sz w:val="32"/>
          <w:szCs w:val="32"/>
          <w:highlight w:val="none"/>
        </w:rPr>
        <w:br w:type="textWrapping"/>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获得荣誉加分：获得校级</w:t>
      </w:r>
      <w:r>
        <w:rPr>
          <w:rFonts w:hint="eastAsia" w:ascii="仿宋_GB2312" w:eastAsia="仿宋_GB2312"/>
          <w:sz w:val="32"/>
          <w:szCs w:val="32"/>
          <w:highlight w:val="none"/>
          <w:lang w:eastAsia="zh-CN"/>
        </w:rPr>
        <w:t>及以上</w:t>
      </w:r>
      <w:r>
        <w:rPr>
          <w:rFonts w:hint="eastAsia" w:ascii="仿宋_GB2312" w:eastAsia="仿宋_GB2312"/>
          <w:sz w:val="32"/>
          <w:szCs w:val="32"/>
          <w:highlight w:val="none"/>
        </w:rPr>
        <w:t>荣誉者，每项加2分，满分4分。</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活动荣誉加分：</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活动荣誉加分满分10分；</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各加分项目应有相关文件、证书、原件或部门证明予以证实，否则不予认可。</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文体活动若为团体，所有成员均获得该项相应名次得分；</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同一活动获不同等级奖，计最高分，不累加，若为不同项目，可累加；</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活动获奖</w:t>
      </w:r>
      <w:r>
        <w:rPr>
          <w:rFonts w:hint="eastAsia" w:ascii="仿宋_GB2312" w:eastAsia="仿宋_GB2312"/>
          <w:sz w:val="32"/>
          <w:szCs w:val="32"/>
          <w:highlight w:val="none"/>
          <w:lang w:eastAsia="zh-CN"/>
        </w:rPr>
        <w:t>与学生工作</w:t>
      </w:r>
      <w:r>
        <w:rPr>
          <w:rFonts w:hint="eastAsia" w:ascii="仿宋_GB2312" w:eastAsia="仿宋_GB2312"/>
          <w:sz w:val="32"/>
          <w:szCs w:val="32"/>
          <w:highlight w:val="none"/>
        </w:rPr>
        <w:t>加分按以下标准：</w:t>
      </w:r>
      <w:r>
        <w:rPr>
          <w:rFonts w:hint="eastAsia" w:ascii="仿宋_GB2312" w:eastAsia="仿宋_GB2312"/>
          <w:sz w:val="32"/>
          <w:szCs w:val="32"/>
          <w:highlight w:val="none"/>
          <w:lang w:eastAsia="zh-CN"/>
        </w:rPr>
        <w:t>学生工作不累计加分，按最高分</w:t>
      </w:r>
      <w:r>
        <w:rPr>
          <w:rFonts w:hint="eastAsia" w:ascii="仿宋_GB2312" w:eastAsia="仿宋_GB2312"/>
          <w:sz w:val="32"/>
          <w:szCs w:val="32"/>
          <w:highlight w:val="none"/>
          <w:lang w:val="en-US" w:eastAsia="zh-CN"/>
        </w:rPr>
        <w:t>项</w:t>
      </w:r>
      <w:r>
        <w:rPr>
          <w:rFonts w:hint="eastAsia" w:ascii="仿宋_GB2312" w:eastAsia="仿宋_GB2312"/>
          <w:sz w:val="32"/>
          <w:szCs w:val="32"/>
          <w:highlight w:val="none"/>
          <w:lang w:eastAsia="zh-CN"/>
        </w:rPr>
        <w:t>计。</w:t>
      </w:r>
    </w:p>
    <w:p>
      <w:pPr>
        <w:keepNext w:val="0"/>
        <w:keepLines w:val="0"/>
        <w:pageBreakBefore w:val="0"/>
        <w:kinsoku/>
        <w:wordWrap/>
        <w:overflowPunct/>
        <w:topLinePunct w:val="0"/>
        <w:autoSpaceDE/>
        <w:autoSpaceDN/>
        <w:bidi w:val="0"/>
        <w:adjustRightInd/>
        <w:snapToGrid/>
        <w:spacing w:line="440" w:lineRule="atLeast"/>
        <w:jc w:val="center"/>
        <w:textAlignment w:val="auto"/>
        <w:rPr>
          <w:rFonts w:ascii="仿宋_GB2312" w:eastAsia="仿宋_GB2312"/>
          <w:b/>
          <w:bCs/>
          <w:sz w:val="32"/>
          <w:szCs w:val="32"/>
          <w:highlight w:val="none"/>
        </w:rPr>
      </w:pPr>
      <w:r>
        <w:rPr>
          <w:rFonts w:hint="eastAsia" w:ascii="仿宋_GB2312" w:eastAsia="仿宋_GB2312"/>
          <w:b/>
          <w:bCs/>
          <w:sz w:val="32"/>
          <w:szCs w:val="32"/>
          <w:highlight w:val="none"/>
        </w:rPr>
        <w:t>活动获奖计分标准</w:t>
      </w:r>
    </w:p>
    <w:tbl>
      <w:tblPr>
        <w:tblStyle w:val="5"/>
        <w:tblpPr w:leftFromText="180" w:rightFromText="180" w:vertAnchor="text" w:tblpXSpec="center" w:tblpY="1"/>
        <w:tblOverlap w:val="never"/>
        <w:tblW w:w="8298" w:type="dxa"/>
        <w:tblInd w:w="-325" w:type="dxa"/>
        <w:tblLayout w:type="fixed"/>
        <w:tblCellMar>
          <w:top w:w="0" w:type="dxa"/>
          <w:left w:w="108" w:type="dxa"/>
          <w:bottom w:w="0" w:type="dxa"/>
          <w:right w:w="108" w:type="dxa"/>
        </w:tblCellMar>
      </w:tblPr>
      <w:tblGrid>
        <w:gridCol w:w="2631"/>
        <w:gridCol w:w="1726"/>
        <w:gridCol w:w="1817"/>
        <w:gridCol w:w="2124"/>
      </w:tblGrid>
      <w:tr>
        <w:tblPrEx>
          <w:tblCellMar>
            <w:top w:w="0" w:type="dxa"/>
            <w:left w:w="108" w:type="dxa"/>
            <w:bottom w:w="0" w:type="dxa"/>
            <w:right w:w="108" w:type="dxa"/>
          </w:tblCellMar>
        </w:tblPrEx>
        <w:trPr>
          <w:trHeight w:val="489" w:hRule="atLeast"/>
        </w:trPr>
        <w:tc>
          <w:tcPr>
            <w:tcW w:w="263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等级</w:t>
            </w:r>
          </w:p>
        </w:tc>
        <w:tc>
          <w:tcPr>
            <w:tcW w:w="1817"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文体活动</w:t>
            </w:r>
          </w:p>
        </w:tc>
        <w:tc>
          <w:tcPr>
            <w:tcW w:w="2124"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社会实践</w:t>
            </w:r>
          </w:p>
        </w:tc>
      </w:tr>
      <w:tr>
        <w:tblPrEx>
          <w:tblCellMar>
            <w:top w:w="0" w:type="dxa"/>
            <w:left w:w="108" w:type="dxa"/>
            <w:bottom w:w="0" w:type="dxa"/>
            <w:right w:w="108" w:type="dxa"/>
          </w:tblCellMar>
        </w:tblPrEx>
        <w:trPr>
          <w:trHeight w:val="489" w:hRule="atLeast"/>
        </w:trPr>
        <w:tc>
          <w:tcPr>
            <w:tcW w:w="2631" w:type="dxa"/>
            <w:vMerge w:val="restart"/>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国家级</w:t>
            </w: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一等奖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5</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5</w:t>
            </w:r>
          </w:p>
        </w:tc>
      </w:tr>
      <w:tr>
        <w:tblPrEx>
          <w:tblCellMar>
            <w:top w:w="0" w:type="dxa"/>
            <w:left w:w="108" w:type="dxa"/>
            <w:bottom w:w="0" w:type="dxa"/>
            <w:right w:w="108" w:type="dxa"/>
          </w:tblCellMar>
        </w:tblPrEx>
        <w:trPr>
          <w:trHeight w:val="489" w:hRule="atLeast"/>
        </w:trPr>
        <w:tc>
          <w:tcPr>
            <w:tcW w:w="2631"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二等奖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4</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4</w:t>
            </w:r>
          </w:p>
        </w:tc>
      </w:tr>
      <w:tr>
        <w:tblPrEx>
          <w:tblCellMar>
            <w:top w:w="0" w:type="dxa"/>
            <w:left w:w="108" w:type="dxa"/>
            <w:bottom w:w="0" w:type="dxa"/>
            <w:right w:w="108" w:type="dxa"/>
          </w:tblCellMar>
        </w:tblPrEx>
        <w:trPr>
          <w:trHeight w:val="489" w:hRule="atLeast"/>
        </w:trPr>
        <w:tc>
          <w:tcPr>
            <w:tcW w:w="2631"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三等奖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3</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3</w:t>
            </w:r>
          </w:p>
        </w:tc>
      </w:tr>
      <w:tr>
        <w:tblPrEx>
          <w:tblCellMar>
            <w:top w:w="0" w:type="dxa"/>
            <w:left w:w="108" w:type="dxa"/>
            <w:bottom w:w="0" w:type="dxa"/>
            <w:right w:w="108" w:type="dxa"/>
          </w:tblCellMar>
        </w:tblPrEx>
        <w:trPr>
          <w:trHeight w:val="489" w:hRule="atLeast"/>
        </w:trPr>
        <w:tc>
          <w:tcPr>
            <w:tcW w:w="2631" w:type="dxa"/>
            <w:vMerge w:val="restart"/>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省部级</w:t>
            </w: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一等奖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3</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3</w:t>
            </w:r>
          </w:p>
        </w:tc>
      </w:tr>
      <w:tr>
        <w:tblPrEx>
          <w:tblCellMar>
            <w:top w:w="0" w:type="dxa"/>
            <w:left w:w="108" w:type="dxa"/>
            <w:bottom w:w="0" w:type="dxa"/>
            <w:right w:w="108" w:type="dxa"/>
          </w:tblCellMar>
        </w:tblPrEx>
        <w:trPr>
          <w:trHeight w:val="489" w:hRule="atLeast"/>
        </w:trPr>
        <w:tc>
          <w:tcPr>
            <w:tcW w:w="2631"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二等奖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2</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2</w:t>
            </w:r>
          </w:p>
        </w:tc>
      </w:tr>
      <w:tr>
        <w:tblPrEx>
          <w:tblCellMar>
            <w:top w:w="0" w:type="dxa"/>
            <w:left w:w="108" w:type="dxa"/>
            <w:bottom w:w="0" w:type="dxa"/>
            <w:right w:w="108" w:type="dxa"/>
          </w:tblCellMar>
        </w:tblPrEx>
        <w:trPr>
          <w:trHeight w:val="489" w:hRule="atLeast"/>
        </w:trPr>
        <w:tc>
          <w:tcPr>
            <w:tcW w:w="2631"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三等奖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1</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1</w:t>
            </w:r>
          </w:p>
        </w:tc>
      </w:tr>
      <w:tr>
        <w:tblPrEx>
          <w:tblCellMar>
            <w:top w:w="0" w:type="dxa"/>
            <w:left w:w="108" w:type="dxa"/>
            <w:bottom w:w="0" w:type="dxa"/>
            <w:right w:w="108" w:type="dxa"/>
          </w:tblCellMar>
        </w:tblPrEx>
        <w:trPr>
          <w:trHeight w:val="489" w:hRule="atLeast"/>
        </w:trPr>
        <w:tc>
          <w:tcPr>
            <w:tcW w:w="2631" w:type="dxa"/>
            <w:vMerge w:val="restart"/>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校级及地方级</w:t>
            </w: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一等奖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1</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1</w:t>
            </w:r>
          </w:p>
        </w:tc>
      </w:tr>
      <w:tr>
        <w:tblPrEx>
          <w:tblCellMar>
            <w:top w:w="0" w:type="dxa"/>
            <w:left w:w="108" w:type="dxa"/>
            <w:bottom w:w="0" w:type="dxa"/>
            <w:right w:w="108" w:type="dxa"/>
          </w:tblCellMar>
        </w:tblPrEx>
        <w:trPr>
          <w:trHeight w:val="489" w:hRule="atLeast"/>
        </w:trPr>
        <w:tc>
          <w:tcPr>
            <w:tcW w:w="2631" w:type="dxa"/>
            <w:vMerge w:val="continue"/>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二等奖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0.8</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0.8</w:t>
            </w:r>
          </w:p>
        </w:tc>
      </w:tr>
      <w:tr>
        <w:tblPrEx>
          <w:tblCellMar>
            <w:top w:w="0" w:type="dxa"/>
            <w:left w:w="108" w:type="dxa"/>
            <w:bottom w:w="0" w:type="dxa"/>
            <w:right w:w="108" w:type="dxa"/>
          </w:tblCellMar>
        </w:tblPrEx>
        <w:trPr>
          <w:trHeight w:val="514" w:hRule="atLeast"/>
        </w:trPr>
        <w:tc>
          <w:tcPr>
            <w:tcW w:w="2631" w:type="dxa"/>
            <w:vMerge w:val="continue"/>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三等奖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0.5</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0.5</w:t>
            </w:r>
          </w:p>
        </w:tc>
      </w:tr>
    </w:tbl>
    <w:p>
      <w:pPr>
        <w:spacing w:line="360" w:lineRule="auto"/>
        <w:jc w:val="center"/>
        <w:rPr>
          <w:rFonts w:hint="eastAsia" w:ascii="仿宋_GB2312" w:eastAsia="仿宋_GB2312"/>
          <w:b/>
          <w:bCs/>
          <w:sz w:val="32"/>
          <w:szCs w:val="32"/>
          <w:highlight w:val="none"/>
        </w:rPr>
      </w:pPr>
      <w:r>
        <w:rPr>
          <w:rFonts w:hint="eastAsia" w:ascii="仿宋_GB2312" w:eastAsia="仿宋_GB2312"/>
          <w:b/>
          <w:bCs/>
          <w:sz w:val="32"/>
          <w:szCs w:val="32"/>
          <w:highlight w:val="none"/>
          <w:lang w:eastAsia="zh-CN"/>
        </w:rPr>
        <w:t>学生工作</w:t>
      </w:r>
      <w:r>
        <w:rPr>
          <w:rFonts w:hint="eastAsia" w:ascii="仿宋_GB2312" w:eastAsia="仿宋_GB2312"/>
          <w:b/>
          <w:bCs/>
          <w:sz w:val="32"/>
          <w:szCs w:val="32"/>
          <w:highlight w:val="none"/>
        </w:rPr>
        <w:t>计分标准</w:t>
      </w:r>
    </w:p>
    <w:tbl>
      <w:tblPr>
        <w:tblStyle w:val="5"/>
        <w:tblpPr w:leftFromText="180" w:rightFromText="180" w:vertAnchor="text" w:tblpXSpec="center" w:tblpY="1"/>
        <w:tblOverlap w:val="never"/>
        <w:tblW w:w="8419" w:type="dxa"/>
        <w:tblInd w:w="0" w:type="dxa"/>
        <w:tblLayout w:type="fixed"/>
        <w:tblCellMar>
          <w:top w:w="0" w:type="dxa"/>
          <w:left w:w="108" w:type="dxa"/>
          <w:bottom w:w="0" w:type="dxa"/>
          <w:right w:w="108" w:type="dxa"/>
        </w:tblCellMar>
      </w:tblPr>
      <w:tblGrid>
        <w:gridCol w:w="1933"/>
        <w:gridCol w:w="2660"/>
        <w:gridCol w:w="3826"/>
      </w:tblGrid>
      <w:tr>
        <w:tblPrEx>
          <w:tblCellMar>
            <w:top w:w="0" w:type="dxa"/>
            <w:left w:w="108" w:type="dxa"/>
            <w:bottom w:w="0" w:type="dxa"/>
            <w:right w:w="108" w:type="dxa"/>
          </w:tblCellMar>
        </w:tblPrEx>
        <w:trPr>
          <w:trHeight w:val="600" w:hRule="atLeast"/>
        </w:trPr>
        <w:tc>
          <w:tcPr>
            <w:tcW w:w="193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等级</w:t>
            </w:r>
          </w:p>
        </w:tc>
        <w:tc>
          <w:tcPr>
            <w:tcW w:w="3826"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文体活动</w:t>
            </w:r>
          </w:p>
        </w:tc>
      </w:tr>
      <w:tr>
        <w:tblPrEx>
          <w:tblCellMar>
            <w:top w:w="0" w:type="dxa"/>
            <w:left w:w="108" w:type="dxa"/>
            <w:bottom w:w="0" w:type="dxa"/>
            <w:right w:w="108" w:type="dxa"/>
          </w:tblCellMar>
        </w:tblPrEx>
        <w:trPr>
          <w:trHeight w:val="600" w:hRule="atLeast"/>
        </w:trPr>
        <w:tc>
          <w:tcPr>
            <w:tcW w:w="1933" w:type="dxa"/>
            <w:vMerge w:val="restart"/>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校研会</w:t>
            </w: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主席</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5</w:t>
            </w:r>
          </w:p>
        </w:tc>
      </w:tr>
      <w:tr>
        <w:tblPrEx>
          <w:tblCellMar>
            <w:top w:w="0" w:type="dxa"/>
            <w:left w:w="108" w:type="dxa"/>
            <w:bottom w:w="0" w:type="dxa"/>
            <w:right w:w="108" w:type="dxa"/>
          </w:tblCellMar>
        </w:tblPrEx>
        <w:trPr>
          <w:trHeight w:val="600" w:hRule="atLeast"/>
        </w:trPr>
        <w:tc>
          <w:tcPr>
            <w:tcW w:w="1933"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副主席</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4</w:t>
            </w:r>
          </w:p>
        </w:tc>
      </w:tr>
      <w:tr>
        <w:tblPrEx>
          <w:tblCellMar>
            <w:top w:w="0" w:type="dxa"/>
            <w:left w:w="108" w:type="dxa"/>
            <w:bottom w:w="0" w:type="dxa"/>
            <w:right w:w="108" w:type="dxa"/>
          </w:tblCellMar>
        </w:tblPrEx>
        <w:trPr>
          <w:trHeight w:val="600" w:hRule="atLeast"/>
        </w:trPr>
        <w:tc>
          <w:tcPr>
            <w:tcW w:w="1933"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部长级</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3</w:t>
            </w:r>
          </w:p>
        </w:tc>
      </w:tr>
      <w:tr>
        <w:tblPrEx>
          <w:tblCellMar>
            <w:top w:w="0" w:type="dxa"/>
            <w:left w:w="108" w:type="dxa"/>
            <w:bottom w:w="0" w:type="dxa"/>
            <w:right w:w="108" w:type="dxa"/>
          </w:tblCellMar>
        </w:tblPrEx>
        <w:trPr>
          <w:trHeight w:val="600" w:hRule="atLeast"/>
        </w:trPr>
        <w:tc>
          <w:tcPr>
            <w:tcW w:w="1933" w:type="dxa"/>
            <w:vMerge w:val="restart"/>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院研会</w:t>
            </w: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lang w:eastAsia="zh-CN"/>
              </w:rPr>
              <w:t>主席</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p>
        </w:tc>
      </w:tr>
      <w:tr>
        <w:tblPrEx>
          <w:tblCellMar>
            <w:top w:w="0" w:type="dxa"/>
            <w:left w:w="108" w:type="dxa"/>
            <w:bottom w:w="0" w:type="dxa"/>
            <w:right w:w="108" w:type="dxa"/>
          </w:tblCellMar>
        </w:tblPrEx>
        <w:trPr>
          <w:trHeight w:val="600" w:hRule="atLeast"/>
        </w:trPr>
        <w:tc>
          <w:tcPr>
            <w:tcW w:w="1933"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lang w:eastAsia="zh-CN"/>
              </w:rPr>
              <w:t>副主席</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w:t>
            </w:r>
          </w:p>
        </w:tc>
      </w:tr>
      <w:tr>
        <w:tblPrEx>
          <w:tblCellMar>
            <w:top w:w="0" w:type="dxa"/>
            <w:left w:w="108" w:type="dxa"/>
            <w:bottom w:w="0" w:type="dxa"/>
            <w:right w:w="108" w:type="dxa"/>
          </w:tblCellMar>
        </w:tblPrEx>
        <w:trPr>
          <w:trHeight w:val="600" w:hRule="atLeast"/>
        </w:trPr>
        <w:tc>
          <w:tcPr>
            <w:tcW w:w="1933"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lang w:eastAsia="zh-CN"/>
              </w:rPr>
              <w:t>部长级</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p>
        </w:tc>
      </w:tr>
      <w:tr>
        <w:tblPrEx>
          <w:tblCellMar>
            <w:top w:w="0" w:type="dxa"/>
            <w:left w:w="108" w:type="dxa"/>
            <w:bottom w:w="0" w:type="dxa"/>
            <w:right w:w="108" w:type="dxa"/>
          </w:tblCellMar>
        </w:tblPrEx>
        <w:trPr>
          <w:trHeight w:val="600" w:hRule="atLeast"/>
        </w:trPr>
        <w:tc>
          <w:tcPr>
            <w:tcW w:w="1933" w:type="dxa"/>
            <w:vMerge w:val="restart"/>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党团支部</w:t>
            </w: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党支部书记</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w:t>
            </w:r>
          </w:p>
        </w:tc>
      </w:tr>
      <w:tr>
        <w:tblPrEx>
          <w:tblCellMar>
            <w:top w:w="0" w:type="dxa"/>
            <w:left w:w="108" w:type="dxa"/>
            <w:bottom w:w="0" w:type="dxa"/>
            <w:right w:w="108" w:type="dxa"/>
          </w:tblCellMar>
        </w:tblPrEx>
        <w:trPr>
          <w:trHeight w:val="600" w:hRule="atLeast"/>
        </w:trPr>
        <w:tc>
          <w:tcPr>
            <w:tcW w:w="1933" w:type="dxa"/>
            <w:vMerge w:val="continue"/>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党支部委员</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p>
        </w:tc>
      </w:tr>
      <w:tr>
        <w:tblPrEx>
          <w:tblCellMar>
            <w:top w:w="0" w:type="dxa"/>
            <w:left w:w="108" w:type="dxa"/>
            <w:bottom w:w="0" w:type="dxa"/>
            <w:right w:w="108" w:type="dxa"/>
          </w:tblCellMar>
        </w:tblPrEx>
        <w:trPr>
          <w:trHeight w:val="619" w:hRule="atLeast"/>
        </w:trPr>
        <w:tc>
          <w:tcPr>
            <w:tcW w:w="1933" w:type="dxa"/>
            <w:vMerge w:val="continue"/>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班长团支书</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p>
        </w:tc>
      </w:tr>
    </w:tbl>
    <w:p>
      <w:pPr>
        <w:spacing w:line="540" w:lineRule="exact"/>
        <w:rPr>
          <w:rFonts w:ascii="仿宋_GB2312" w:eastAsia="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荣誉加分中所有加分荣誉均应在相应学历层次内获得</w:t>
      </w:r>
      <w:r>
        <w:rPr>
          <w:rFonts w:hint="eastAsia" w:ascii="仿宋_GB2312" w:eastAsia="仿宋_GB2312"/>
          <w:sz w:val="32"/>
          <w:szCs w:val="32"/>
          <w:highlight w:val="none"/>
          <w:lang w:eastAsia="zh-CN"/>
        </w:rPr>
        <w:t>，学生工作不累计加分</w:t>
      </w:r>
      <w:r>
        <w:rPr>
          <w:rFonts w:hint="eastAsia" w:ascii="仿宋_GB2312" w:eastAsia="仿宋_GB2312"/>
          <w:sz w:val="32"/>
          <w:szCs w:val="32"/>
          <w:highlight w:val="none"/>
        </w:rPr>
        <w:t>。</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（二）</w:t>
      </w:r>
      <w:r>
        <w:rPr>
          <w:rFonts w:hint="eastAsia" w:ascii="仿宋_GB2312" w:eastAsia="仿宋_GB2312"/>
          <w:sz w:val="32"/>
          <w:szCs w:val="32"/>
          <w:highlight w:val="none"/>
        </w:rPr>
        <w:t>学业成绩分</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学业成绩分=学生所修全部课程的整体加权平均分*30%</w:t>
      </w:r>
    </w:p>
    <w:p>
      <w:pPr>
        <w:spacing w:line="58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二</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创新能力分</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（一）</w:t>
      </w:r>
      <w:r>
        <w:rPr>
          <w:rFonts w:hint="eastAsia" w:ascii="仿宋_GB2312" w:eastAsia="仿宋_GB2312"/>
          <w:sz w:val="32"/>
          <w:szCs w:val="32"/>
          <w:highlight w:val="none"/>
        </w:rPr>
        <w:t>科技创新能力</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1.</w:t>
      </w:r>
      <w:r>
        <w:rPr>
          <w:rFonts w:ascii="仿宋_GB2312" w:eastAsia="仿宋_GB2312"/>
          <w:sz w:val="32"/>
          <w:szCs w:val="32"/>
          <w:highlight w:val="none"/>
        </w:rPr>
        <w:t>发表论文</w:t>
      </w:r>
      <w:r>
        <w:rPr>
          <w:rFonts w:hint="eastAsia" w:ascii="仿宋_GB2312" w:eastAsia="仿宋_GB2312"/>
          <w:sz w:val="32"/>
          <w:szCs w:val="32"/>
          <w:highlight w:val="none"/>
        </w:rPr>
        <w:t>（</w:t>
      </w:r>
      <w:r>
        <w:rPr>
          <w:rFonts w:ascii="仿宋_GB2312" w:eastAsia="仿宋_GB2312"/>
          <w:sz w:val="32"/>
          <w:szCs w:val="32"/>
          <w:highlight w:val="none"/>
        </w:rPr>
        <w:t>按以下标准给予加分</w:t>
      </w:r>
      <w:r>
        <w:rPr>
          <w:rFonts w:hint="eastAsia" w:ascii="仿宋_GB2312" w:eastAsia="仿宋_GB2312"/>
          <w:sz w:val="32"/>
          <w:szCs w:val="32"/>
          <w:highlight w:val="none"/>
        </w:rPr>
        <w:t>）</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公开发表的学术研究论文需满足以下条件：学生为第一作者、导师为通讯作者</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 xml:space="preserve">西北农林科技大学为第一署名单位且排名顺序为第一。 </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公开发表的学术论文是指已在SCI、</w:t>
      </w:r>
      <w:r>
        <w:rPr>
          <w:rFonts w:hint="eastAsia" w:ascii="仿宋_GB2312" w:eastAsia="仿宋_GB2312"/>
          <w:sz w:val="32"/>
          <w:szCs w:val="32"/>
          <w:highlight w:val="none"/>
          <w:lang w:val="en-US" w:eastAsia="zh-CN"/>
        </w:rPr>
        <w:t>SSCI、A&amp;HCI、</w:t>
      </w:r>
      <w:r>
        <w:rPr>
          <w:rFonts w:hint="eastAsia" w:ascii="仿宋_GB2312" w:eastAsia="仿宋_GB2312"/>
          <w:sz w:val="32"/>
          <w:szCs w:val="32"/>
          <w:highlight w:val="none"/>
        </w:rPr>
        <w:t>EI、A类、B类和核心期刊上发表的学术论文（含网络在线发表但还没有页码的SCI和EI论文）。</w:t>
      </w:r>
    </w:p>
    <w:tbl>
      <w:tblPr>
        <w:tblStyle w:val="5"/>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9"/>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9"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发表刊物</w:t>
            </w:r>
          </w:p>
        </w:tc>
        <w:tc>
          <w:tcPr>
            <w:tcW w:w="4280"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9"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SCI论文</w:t>
            </w:r>
          </w:p>
        </w:tc>
        <w:tc>
          <w:tcPr>
            <w:tcW w:w="4280"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10+IF*10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9" w:type="dxa"/>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EI</w:t>
            </w:r>
          </w:p>
        </w:tc>
        <w:tc>
          <w:tcPr>
            <w:tcW w:w="4280" w:type="dxa"/>
            <w:vAlign w:val="center"/>
          </w:tcPr>
          <w:p>
            <w:pPr>
              <w:spacing w:line="380" w:lineRule="exact"/>
              <w:jc w:val="center"/>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9"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国内A类学术期刊</w:t>
            </w:r>
          </w:p>
        </w:tc>
        <w:tc>
          <w:tcPr>
            <w:tcW w:w="4280"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9"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国内B类学术期刊</w:t>
            </w:r>
          </w:p>
        </w:tc>
        <w:tc>
          <w:tcPr>
            <w:tcW w:w="4280"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299"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国内核心期刊</w:t>
            </w:r>
          </w:p>
        </w:tc>
        <w:tc>
          <w:tcPr>
            <w:tcW w:w="4280" w:type="dxa"/>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w:t>
            </w:r>
          </w:p>
        </w:tc>
      </w:tr>
    </w:tbl>
    <w:p>
      <w:pPr>
        <w:spacing w:line="560" w:lineRule="exact"/>
        <w:ind w:firstLine="640" w:firstLineChars="200"/>
        <w:rPr>
          <w:rFonts w:hint="eastAsia" w:ascii="仿宋_GB2312" w:eastAsia="仿宋_GB2312"/>
          <w:b/>
          <w:sz w:val="32"/>
          <w:szCs w:val="32"/>
          <w:highlight w:val="none"/>
        </w:rPr>
      </w:pPr>
      <w:r>
        <w:rPr>
          <w:rFonts w:hint="eastAsia" w:ascii="仿宋_GB2312" w:eastAsia="仿宋_GB2312"/>
          <w:sz w:val="32"/>
          <w:szCs w:val="32"/>
          <w:highlight w:val="none"/>
        </w:rPr>
        <w:t>参评论文需提供论文全文与我校图书馆开具的检索证明，其中SCI论文检索证明需注明期刊的最新影响因子，其他论文检索证明须注明类别（EI、A类、B类和核心）；对网络在线发表但还没有页码的SCI、EI论文，请打印网络版论文并将查实的期刊最新影响因子标注在论文首页左上角处【</w:t>
      </w:r>
      <w:r>
        <w:rPr>
          <w:rFonts w:hint="eastAsia" w:ascii="仿宋_GB2312" w:eastAsia="仿宋_GB2312"/>
          <w:b/>
          <w:sz w:val="32"/>
          <w:szCs w:val="32"/>
          <w:highlight w:val="none"/>
        </w:rPr>
        <w:t>曾获奖助学金者已经使用过的科研成果不得再次使用，同一篇论文只记一次分值】。</w:t>
      </w:r>
    </w:p>
    <w:p>
      <w:pPr>
        <w:spacing w:line="560" w:lineRule="exact"/>
        <w:ind w:firstLine="640" w:firstLineChars="200"/>
        <w:rPr>
          <w:rFonts w:hint="eastAsia" w:ascii="仿宋_GB2312" w:eastAsia="仿宋_GB2312"/>
          <w:b w:val="0"/>
          <w:bCs/>
          <w:sz w:val="32"/>
          <w:szCs w:val="32"/>
          <w:highlight w:val="none"/>
        </w:rPr>
      </w:pPr>
      <w:r>
        <w:rPr>
          <w:rFonts w:hint="eastAsia" w:ascii="仿宋_GB2312" w:eastAsia="仿宋_GB2312"/>
          <w:b w:val="0"/>
          <w:bCs/>
          <w:sz w:val="32"/>
          <w:szCs w:val="32"/>
          <w:highlight w:val="none"/>
        </w:rPr>
        <w:t>SCI、SSCI和EI论文单篇记分比率：并列第一作者为2人时，按照排名分别占总加分的60%和40%记分；并列第一作者为3人时，按照排名分别占总加分的50%、30%和20%记分。</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ascii="仿宋_GB2312" w:eastAsia="仿宋_GB2312"/>
          <w:sz w:val="32"/>
          <w:szCs w:val="32"/>
          <w:highlight w:val="none"/>
        </w:rPr>
        <w:t>2</w:t>
      </w:r>
      <w:r>
        <w:rPr>
          <w:rFonts w:hint="eastAsia" w:ascii="仿宋_GB2312" w:eastAsia="仿宋_GB2312"/>
          <w:sz w:val="32"/>
          <w:szCs w:val="32"/>
          <w:highlight w:val="none"/>
        </w:rPr>
        <w:t>）</w:t>
      </w:r>
      <w:r>
        <w:rPr>
          <w:rFonts w:ascii="仿宋_GB2312" w:eastAsia="仿宋_GB2312"/>
          <w:sz w:val="32"/>
          <w:szCs w:val="32"/>
          <w:highlight w:val="none"/>
        </w:rPr>
        <w:t xml:space="preserve"> 科研成果获奖</w:t>
      </w:r>
      <w:r>
        <w:rPr>
          <w:rFonts w:hint="eastAsia" w:ascii="仿宋_GB2312" w:eastAsia="仿宋_GB2312"/>
          <w:sz w:val="32"/>
          <w:szCs w:val="32"/>
          <w:highlight w:val="none"/>
        </w:rPr>
        <w:t>（</w:t>
      </w:r>
      <w:r>
        <w:rPr>
          <w:rFonts w:ascii="仿宋_GB2312" w:eastAsia="仿宋_GB2312"/>
          <w:sz w:val="32"/>
          <w:szCs w:val="32"/>
          <w:highlight w:val="none"/>
        </w:rPr>
        <w:t>按以下标准给予加分</w:t>
      </w:r>
      <w:r>
        <w:rPr>
          <w:rFonts w:hint="eastAsia" w:ascii="仿宋_GB2312" w:eastAsia="仿宋_GB2312"/>
          <w:sz w:val="32"/>
          <w:szCs w:val="32"/>
          <w:highlight w:val="none"/>
        </w:rPr>
        <w:t>）</w:t>
      </w:r>
    </w:p>
    <w:tbl>
      <w:tblPr>
        <w:tblStyle w:val="5"/>
        <w:tblW w:w="9279"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1358"/>
        <w:gridCol w:w="5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655" w:type="dxa"/>
            <w:gridSpan w:val="2"/>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奖励级别</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297" w:type="dxa"/>
            <w:vMerge w:val="restart"/>
            <w:tcBorders>
              <w:right w:val="single" w:color="auto" w:sz="2" w:space="0"/>
            </w:tcBorders>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国家级</w:t>
            </w:r>
          </w:p>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科学技术奖</w:t>
            </w: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一等奖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前十名依次加100、90、80、70、60、50、40、30、20、10分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vAlign w:val="center"/>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二等奖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前五名依次加50、40、30、20、10分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vAlign w:val="center"/>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三等奖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前三名依次加30、20、10分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restart"/>
            <w:tcBorders>
              <w:right w:val="single" w:color="auto" w:sz="2" w:space="0"/>
            </w:tcBorders>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省部级</w:t>
            </w:r>
          </w:p>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科学技术奖</w:t>
            </w: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一等奖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前五名依次加25、20、15、10、5分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vAlign w:val="center"/>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二等奖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前三名依次加15、10、5分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vAlign w:val="center"/>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三等奖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前二名依次加10、5分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restart"/>
            <w:tcBorders>
              <w:right w:val="single" w:color="auto" w:sz="2" w:space="0"/>
            </w:tcBorders>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国家级学会或专业协会主办的设计奖</w:t>
            </w: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一等奖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前三名依次加15、10、5分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vAlign w:val="center"/>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二等奖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前二名依次加10、5分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vAlign w:val="center"/>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三等奖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第一名加5分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restart"/>
            <w:tcBorders>
              <w:right w:val="single" w:color="auto" w:sz="2" w:space="0"/>
            </w:tcBorders>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省级学会或专业协会主办的设计奖</w:t>
            </w: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一等奖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前三名依次加10、7、4分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二等奖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前二名依次加7、4分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97" w:type="dxa"/>
            <w:vMerge w:val="continue"/>
            <w:tcBorders>
              <w:right w:val="single" w:color="auto" w:sz="2" w:space="0"/>
            </w:tcBorders>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三等奖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第一名加3分</w:t>
            </w:r>
          </w:p>
        </w:tc>
      </w:tr>
    </w:tbl>
    <w:p>
      <w:pPr>
        <w:spacing w:line="580" w:lineRule="exact"/>
        <w:rPr>
          <w:rFonts w:ascii="仿宋_GB2312" w:eastAsia="仿宋_GB2312"/>
          <w:sz w:val="32"/>
          <w:szCs w:val="32"/>
          <w:highlight w:val="none"/>
        </w:rPr>
      </w:pPr>
      <w:r>
        <w:rPr>
          <w:rFonts w:hint="eastAsia" w:ascii="仿宋_GB2312" w:eastAsia="仿宋_GB2312"/>
          <w:sz w:val="32"/>
          <w:szCs w:val="32"/>
          <w:highlight w:val="none"/>
          <w:lang w:val="en-US" w:eastAsia="zh-CN"/>
        </w:rPr>
        <w:t xml:space="preserve">    3.</w:t>
      </w:r>
      <w:r>
        <w:rPr>
          <w:rFonts w:ascii="仿宋_GB2312" w:eastAsia="仿宋_GB2312"/>
          <w:sz w:val="32"/>
          <w:szCs w:val="32"/>
          <w:highlight w:val="none"/>
        </w:rPr>
        <w:t>获批专利</w:t>
      </w:r>
    </w:p>
    <w:p>
      <w:pPr>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发明专利按A类学术期刊、实用新型专利按B类学术期刊、外观设计专利按核心期刊对待。前5名加分依次按同级别的100%、80%、60%、40%、20%加相应的分。</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（4）品种审定</w:t>
      </w:r>
    </w:p>
    <w:tbl>
      <w:tblPr>
        <w:tblStyle w:val="5"/>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5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027"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奖励级别</w:t>
            </w:r>
          </w:p>
        </w:tc>
        <w:tc>
          <w:tcPr>
            <w:tcW w:w="5712"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027"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国家级成果</w:t>
            </w:r>
          </w:p>
        </w:tc>
        <w:tc>
          <w:tcPr>
            <w:tcW w:w="5712"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前五名依次加25、20、15、10、5分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027"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省部级成果</w:t>
            </w:r>
          </w:p>
        </w:tc>
        <w:tc>
          <w:tcPr>
            <w:tcW w:w="5712"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前五名依次加15、10、5、2、1分</w:t>
            </w:r>
          </w:p>
        </w:tc>
      </w:tr>
    </w:tbl>
    <w:p>
      <w:pPr>
        <w:rPr>
          <w:highlight w:val="none"/>
        </w:rPr>
      </w:pPr>
    </w:p>
    <w:p>
      <w:pPr>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（二）</w:t>
      </w:r>
      <w:r>
        <w:rPr>
          <w:rFonts w:hint="eastAsia" w:ascii="仿宋_GB2312" w:eastAsia="仿宋_GB2312"/>
          <w:sz w:val="32"/>
          <w:szCs w:val="32"/>
          <w:highlight w:val="none"/>
        </w:rPr>
        <w:t>课外学习能力</w:t>
      </w:r>
    </w:p>
    <w:p>
      <w:pPr>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在全国学科竞赛中获得奖励者，按照一、二、三等奖的梯度分别加10、8、5分；在省级学科竞赛中获得奖励者，按照一、二、三等奖的梯度分别加5、4、3分；在校级学科竞赛中获得奖励者，按照一、二、三等奖的梯度分别加3、2、1分（以证书为准）。</w:t>
      </w:r>
    </w:p>
    <w:p>
      <w:pPr>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备注：所有加分项获得时间应为参评上一学年。</w:t>
      </w:r>
    </w:p>
    <w:p>
      <w:pPr>
        <w:rPr>
          <w:highlight w:val="none"/>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b/>
                              <w:bCs/>
                              <w:sz w:val="20"/>
                              <w:szCs w:val="20"/>
                              <w:lang w:eastAsia="zh-CN"/>
                            </w:rPr>
                          </w:pPr>
                          <w:r>
                            <w:rPr>
                              <w:rFonts w:hint="eastAsia"/>
                              <w:b/>
                              <w:bCs/>
                              <w:sz w:val="20"/>
                              <w:szCs w:val="20"/>
                              <w:lang w:eastAsia="zh-CN"/>
                            </w:rPr>
                            <w:fldChar w:fldCharType="begin"/>
                          </w:r>
                          <w:r>
                            <w:rPr>
                              <w:rFonts w:hint="eastAsia"/>
                              <w:b/>
                              <w:bCs/>
                              <w:sz w:val="20"/>
                              <w:szCs w:val="20"/>
                              <w:lang w:eastAsia="zh-CN"/>
                            </w:rPr>
                            <w:instrText xml:space="preserve"> PAGE  \* MERGEFORMAT </w:instrText>
                          </w:r>
                          <w:r>
                            <w:rPr>
                              <w:rFonts w:hint="eastAsia"/>
                              <w:b/>
                              <w:bCs/>
                              <w:sz w:val="20"/>
                              <w:szCs w:val="20"/>
                              <w:lang w:eastAsia="zh-CN"/>
                            </w:rPr>
                            <w:fldChar w:fldCharType="separate"/>
                          </w:r>
                          <w:r>
                            <w:rPr>
                              <w:rFonts w:hint="eastAsia"/>
                              <w:b/>
                              <w:bCs/>
                              <w:sz w:val="20"/>
                              <w:szCs w:val="20"/>
                              <w:lang w:eastAsia="zh-CN"/>
                            </w:rPr>
                            <w:t>1</w:t>
                          </w:r>
                          <w:r>
                            <w:rPr>
                              <w:rFonts w:hint="eastAsia"/>
                              <w:b/>
                              <w:bCs/>
                              <w:sz w:val="20"/>
                              <w:szCs w:val="20"/>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eastAsia="宋体"/>
                        <w:b/>
                        <w:bCs/>
                        <w:sz w:val="20"/>
                        <w:szCs w:val="20"/>
                        <w:lang w:eastAsia="zh-CN"/>
                      </w:rPr>
                    </w:pPr>
                    <w:r>
                      <w:rPr>
                        <w:rFonts w:hint="eastAsia"/>
                        <w:b/>
                        <w:bCs/>
                        <w:sz w:val="20"/>
                        <w:szCs w:val="20"/>
                        <w:lang w:eastAsia="zh-CN"/>
                      </w:rPr>
                      <w:fldChar w:fldCharType="begin"/>
                    </w:r>
                    <w:r>
                      <w:rPr>
                        <w:rFonts w:hint="eastAsia"/>
                        <w:b/>
                        <w:bCs/>
                        <w:sz w:val="20"/>
                        <w:szCs w:val="20"/>
                        <w:lang w:eastAsia="zh-CN"/>
                      </w:rPr>
                      <w:instrText xml:space="preserve"> PAGE  \* MERGEFORMAT </w:instrText>
                    </w:r>
                    <w:r>
                      <w:rPr>
                        <w:rFonts w:hint="eastAsia"/>
                        <w:b/>
                        <w:bCs/>
                        <w:sz w:val="20"/>
                        <w:szCs w:val="20"/>
                        <w:lang w:eastAsia="zh-CN"/>
                      </w:rPr>
                      <w:fldChar w:fldCharType="separate"/>
                    </w:r>
                    <w:r>
                      <w:rPr>
                        <w:rFonts w:hint="eastAsia"/>
                        <w:b/>
                        <w:bCs/>
                        <w:sz w:val="20"/>
                        <w:szCs w:val="20"/>
                        <w:lang w:eastAsia="zh-CN"/>
                      </w:rPr>
                      <w:t>1</w:t>
                    </w:r>
                    <w:r>
                      <w:rPr>
                        <w:rFonts w:hint="eastAsia"/>
                        <w:b/>
                        <w:bCs/>
                        <w:sz w:val="20"/>
                        <w:szCs w:val="2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0E5"/>
    <w:rsid w:val="00010950"/>
    <w:rsid w:val="0012638C"/>
    <w:rsid w:val="001B04D4"/>
    <w:rsid w:val="001F7184"/>
    <w:rsid w:val="002F4A9B"/>
    <w:rsid w:val="003E64E6"/>
    <w:rsid w:val="004C54D6"/>
    <w:rsid w:val="004F3A81"/>
    <w:rsid w:val="005329E0"/>
    <w:rsid w:val="00715303"/>
    <w:rsid w:val="007C6491"/>
    <w:rsid w:val="00822598"/>
    <w:rsid w:val="0086292E"/>
    <w:rsid w:val="00886282"/>
    <w:rsid w:val="00950721"/>
    <w:rsid w:val="00A920E5"/>
    <w:rsid w:val="00B65FE5"/>
    <w:rsid w:val="00BE48BA"/>
    <w:rsid w:val="00C4323F"/>
    <w:rsid w:val="02697EB9"/>
    <w:rsid w:val="036215D9"/>
    <w:rsid w:val="054A1FD7"/>
    <w:rsid w:val="06817ED4"/>
    <w:rsid w:val="09443905"/>
    <w:rsid w:val="097806EC"/>
    <w:rsid w:val="0FC628E3"/>
    <w:rsid w:val="17255FA0"/>
    <w:rsid w:val="1B80125D"/>
    <w:rsid w:val="1C780449"/>
    <w:rsid w:val="1EA67C63"/>
    <w:rsid w:val="244D7C36"/>
    <w:rsid w:val="26615CE4"/>
    <w:rsid w:val="28C559FA"/>
    <w:rsid w:val="308C08EA"/>
    <w:rsid w:val="337C7886"/>
    <w:rsid w:val="35343D53"/>
    <w:rsid w:val="35A8372D"/>
    <w:rsid w:val="36E947F4"/>
    <w:rsid w:val="37D4446F"/>
    <w:rsid w:val="3D45186C"/>
    <w:rsid w:val="3D47111A"/>
    <w:rsid w:val="41E11F8B"/>
    <w:rsid w:val="42B6411D"/>
    <w:rsid w:val="44BA4377"/>
    <w:rsid w:val="47D1464D"/>
    <w:rsid w:val="486F6E63"/>
    <w:rsid w:val="515F3355"/>
    <w:rsid w:val="53B05F0E"/>
    <w:rsid w:val="56CB4078"/>
    <w:rsid w:val="5C3D2B7A"/>
    <w:rsid w:val="5D513D89"/>
    <w:rsid w:val="5F257CF2"/>
    <w:rsid w:val="607F58F2"/>
    <w:rsid w:val="64660752"/>
    <w:rsid w:val="65A10510"/>
    <w:rsid w:val="767B7933"/>
    <w:rsid w:val="77195BBE"/>
    <w:rsid w:val="79B5736D"/>
    <w:rsid w:val="7A3331E6"/>
    <w:rsid w:val="7F114EDE"/>
    <w:rsid w:val="7FB02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559</Words>
  <Characters>3192</Characters>
  <Lines>26</Lines>
  <Paragraphs>7</Paragraphs>
  <TotalTime>4</TotalTime>
  <ScaleCrop>false</ScaleCrop>
  <LinksUpToDate>false</LinksUpToDate>
  <CharactersWithSpaces>3744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2015-09-15T07:33:00Z</dcterms:created>
  <dc:creator>郭亚宁</dc:creator>
  <cp:lastModifiedBy>张娟娟</cp:lastModifiedBy>
  <cp:lastPrinted>2020-10-14T02:05:00Z</cp:lastPrinted>
  <dcterms:modified xsi:type="dcterms:W3CDTF">2021-10-20T06:08:25Z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DAA46C495FEE4950A2FE1F619BDA61AD</vt:lpwstr>
  </property>
</Properties>
</file>